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310A6E" w:rsidR="00B3605E" w:rsidRDefault="00915BE5" w14:paraId="7CCBD733" w14:textId="77777777">
      <w:pPr>
        <w:pStyle w:val="TitlePageDesignator"/>
        <w:rPr>
          <w:i/>
          <w:sz w:val="16"/>
        </w:rPr>
      </w:pPr>
      <w:r>
        <w:t>AETC Case Number-</w:t>
      </w:r>
      <w:r w:rsidR="00750A79">
        <w:t>202</w:t>
      </w:r>
      <w:r w:rsidR="00A95D8A">
        <w:t>5</w:t>
      </w:r>
      <w:r w:rsidR="00C000EC">
        <w:t>-xx</w:t>
      </w:r>
      <w:r w:rsidR="00FB7324">
        <w:t>XX</w:t>
      </w:r>
      <w:r w:rsidR="00310A6E">
        <w:t xml:space="preserve">  </w:t>
      </w:r>
      <w:r w:rsidRPr="00310A6E" w:rsidR="00310A6E">
        <w:rPr>
          <w:i/>
          <w:sz w:val="16"/>
        </w:rPr>
        <w:t>(</w:t>
      </w:r>
      <w:r w:rsidRPr="00310A6E" w:rsidR="00310A6E">
        <w:rPr>
          <w:i/>
          <w:caps w:val="0"/>
          <w:sz w:val="16"/>
        </w:rPr>
        <w:t>The AETC Case Number will be applied after Security &amp;Policy Review)</w:t>
      </w:r>
    </w:p>
    <w:p w:rsidR="00B3605E" w:rsidRDefault="00750A79" w14:paraId="330BCA39" w14:textId="77777777">
      <w:pPr>
        <w:pStyle w:val="TitlePageSchool"/>
      </w:pPr>
      <w:r>
        <w:t xml:space="preserve">Department of the </w:t>
      </w:r>
      <w:r w:rsidR="0087594D">
        <w:t>AIR force Fellows</w:t>
      </w:r>
    </w:p>
    <w:p w:rsidR="00B3605E" w:rsidRDefault="00B3605E" w14:paraId="6659A893" w14:textId="77777777">
      <w:pPr>
        <w:pStyle w:val="TitlePageUniversity"/>
      </w:pPr>
      <w:r>
        <w:t>AIR UNIVERSITY</w:t>
      </w:r>
      <w:r w:rsidR="0023704C">
        <w:t xml:space="preserve"> (AU)</w:t>
      </w:r>
    </w:p>
    <w:p w:rsidRPr="00036589" w:rsidR="00B3605E" w:rsidRDefault="00036589" w14:paraId="18A4EE44" w14:textId="77777777">
      <w:pPr>
        <w:pStyle w:val="TitleLine1"/>
      </w:pPr>
      <w:r w:rsidRPr="00036589">
        <w:t>SPACE FORCE: NEW FRONTIERS IN TALENT MANAGEMENT</w:t>
      </w:r>
    </w:p>
    <w:p w:rsidRPr="00901224" w:rsidR="00B3605E" w:rsidRDefault="00036589" w14:paraId="0A555889" w14:textId="60E463E3">
      <w:pPr>
        <w:pStyle w:val="TitleLine2"/>
        <w:rPr>
          <w:sz w:val="28"/>
          <w:szCs w:val="28"/>
        </w:rPr>
      </w:pPr>
      <w:r w:rsidRPr="5DFDE86A" w:rsidR="00036589">
        <w:rPr>
          <w:sz w:val="28"/>
          <w:szCs w:val="28"/>
        </w:rPr>
        <w:t xml:space="preserve">EXPLORING PROPOSALS AND </w:t>
      </w:r>
      <w:r w:rsidRPr="5DFDE86A" w:rsidR="17BC9142">
        <w:rPr>
          <w:sz w:val="28"/>
          <w:szCs w:val="28"/>
        </w:rPr>
        <w:t>Implementation</w:t>
      </w:r>
      <w:r w:rsidRPr="5DFDE86A" w:rsidR="00036589">
        <w:rPr>
          <w:sz w:val="28"/>
          <w:szCs w:val="28"/>
        </w:rPr>
        <w:t xml:space="preserve"> STRATEGIES</w:t>
      </w:r>
    </w:p>
    <w:p w:rsidR="00B3605E" w:rsidRDefault="00B3605E" w14:paraId="07322B3B" w14:textId="77777777">
      <w:pPr>
        <w:pStyle w:val="TitleLine3"/>
      </w:pPr>
    </w:p>
    <w:p w:rsidRPr="00111152" w:rsidR="00B3605E" w:rsidRDefault="00B3605E" w14:paraId="2AB13766" w14:textId="77777777">
      <w:pPr>
        <w:pStyle w:val="TitlePageBy"/>
      </w:pPr>
      <w:r w:rsidRPr="00111152">
        <w:t>by</w:t>
      </w:r>
    </w:p>
    <w:p w:rsidRPr="00111152" w:rsidR="00B3605E" w:rsidRDefault="00036589" w14:paraId="6BA70A09" w14:textId="77777777">
      <w:pPr>
        <w:pStyle w:val="Authors1Column"/>
      </w:pPr>
      <w:r w:rsidRPr="00111152">
        <w:t>Daniel J. Sloss</w:t>
      </w:r>
      <w:r w:rsidRPr="00111152" w:rsidR="00B3605E">
        <w:t xml:space="preserve">, </w:t>
      </w:r>
      <w:r w:rsidRPr="00111152">
        <w:t>Maj</w:t>
      </w:r>
      <w:r w:rsidRPr="00111152" w:rsidR="00B3605E">
        <w:t xml:space="preserve">, </w:t>
      </w:r>
      <w:r w:rsidRPr="00111152">
        <w:t>USAF</w:t>
      </w:r>
    </w:p>
    <w:p w:rsidRPr="00111152" w:rsidR="00036589" w:rsidP="0087594D" w:rsidRDefault="00036589" w14:paraId="0238EE24" w14:textId="77777777">
      <w:pPr>
        <w:pStyle w:val="Authors1Column"/>
      </w:pPr>
    </w:p>
    <w:p w:rsidRPr="00111152" w:rsidR="00B3605E" w:rsidP="0087594D" w:rsidRDefault="00B3605E" w14:paraId="5D1479B9" w14:textId="77777777">
      <w:pPr>
        <w:pStyle w:val="Authors1Column"/>
      </w:pPr>
      <w:r w:rsidRPr="00111152">
        <w:t xml:space="preserve">A Research Report Submitted to the </w:t>
      </w:r>
      <w:r w:rsidRPr="00111152" w:rsidR="00BF5596">
        <w:t>Air Force Fellows</w:t>
      </w:r>
    </w:p>
    <w:p w:rsidRPr="00111152" w:rsidR="00B3605E" w:rsidP="0087594D" w:rsidRDefault="00CC7852" w14:paraId="758E9336" w14:textId="77777777">
      <w:pPr>
        <w:pStyle w:val="TitlePageBy"/>
      </w:pPr>
      <w:r w:rsidRPr="00111152">
        <w:t>i</w:t>
      </w:r>
      <w:r w:rsidRPr="00111152" w:rsidR="00B3605E">
        <w:t>n Partial Fulfillment of the Graduation Requirements</w:t>
      </w:r>
    </w:p>
    <w:p w:rsidRPr="00111152" w:rsidR="0087594D" w:rsidP="0087594D" w:rsidRDefault="00B3605E" w14:paraId="79B269C3" w14:textId="77777777">
      <w:pPr>
        <w:pStyle w:val="Authors1Column"/>
      </w:pPr>
      <w:r w:rsidRPr="00111152">
        <w:t>Advisor</w:t>
      </w:r>
      <w:r w:rsidRPr="00111152" w:rsidR="0087594D">
        <w:t>(s)</w:t>
      </w:r>
      <w:r w:rsidRPr="00111152">
        <w:t xml:space="preserve">: </w:t>
      </w:r>
    </w:p>
    <w:p w:rsidRPr="00111152" w:rsidR="00B3605E" w:rsidP="0087594D" w:rsidRDefault="00036589" w14:paraId="4C905473" w14:textId="77777777">
      <w:pPr>
        <w:pStyle w:val="Authors1Column"/>
      </w:pPr>
      <w:r w:rsidRPr="00111152">
        <w:t>Mr. Benjamin Alvin Drew</w:t>
      </w:r>
    </w:p>
    <w:p w:rsidR="0087594D" w:rsidP="0087594D" w:rsidRDefault="00036589" w14:paraId="5804AE4C" w14:textId="77777777">
      <w:pPr>
        <w:pStyle w:val="Authors1Column"/>
      </w:pPr>
      <w:r w:rsidRPr="00111152">
        <w:t>NASA</w:t>
      </w:r>
    </w:p>
    <w:p w:rsidR="0087594D" w:rsidP="0087594D" w:rsidRDefault="0087594D" w14:paraId="469F7060" w14:textId="77777777">
      <w:pPr>
        <w:pStyle w:val="Authors1Column"/>
      </w:pPr>
    </w:p>
    <w:p w:rsidR="00B3605E" w:rsidP="0087594D" w:rsidRDefault="00B3605E" w14:paraId="6DA6F9C0" w14:textId="77777777">
      <w:pPr>
        <w:pStyle w:val="TitlePageBase"/>
      </w:pPr>
      <w:r>
        <w:t>Maxwell Air Force Base, Alabama</w:t>
      </w:r>
    </w:p>
    <w:p w:rsidR="00B3605E" w:rsidRDefault="00E315B6" w14:paraId="39C823A6" w14:textId="77777777">
      <w:pPr>
        <w:pStyle w:val="TitlePageDate"/>
      </w:pPr>
      <w:r>
        <w:t>April</w:t>
      </w:r>
      <w:r w:rsidR="001F63A1">
        <w:t xml:space="preserve"> </w:t>
      </w:r>
      <w:r w:rsidR="00472726">
        <w:t>202</w:t>
      </w:r>
      <w:r w:rsidR="00036589">
        <w:t>6</w:t>
      </w:r>
    </w:p>
    <w:p w:rsidR="00194060" w:rsidP="00194060" w:rsidRDefault="00194060" w14:paraId="4E0C7C88" w14:textId="77777777">
      <w:pPr>
        <w:pStyle w:val="Disclaimer"/>
        <w:sectPr w:rsidR="00194060">
          <w:headerReference w:type="default" r:id="rId11"/>
          <w:footerReference w:type="default" r:id="rId12"/>
          <w:endnotePr>
            <w:numFmt w:val="decimal"/>
            <w:numRestart w:val="eachSect"/>
          </w:endnotePr>
          <w:pgSz w:w="12240" w:h="15840" w:orient="portrait"/>
          <w:pgMar w:top="1440" w:right="1440" w:bottom="1440" w:left="1440" w:header="720" w:footer="720" w:gutter="0"/>
          <w:pgNumType w:fmt="lowerRoman"/>
          <w:cols w:space="720"/>
          <w:titlePg/>
        </w:sectPr>
      </w:pPr>
      <w:bookmarkStart w:name="_Toc350349594" w:id="2"/>
      <w:bookmarkStart w:name="_Toc361402911" w:id="3"/>
      <w:bookmarkStart w:name="_Toc474416041" w:id="4"/>
      <w:bookmarkStart w:name="_Toc474488187" w:id="5"/>
    </w:p>
    <w:p w:rsidRPr="00194060" w:rsidR="00B3605E" w:rsidP="00F91A23" w:rsidRDefault="00B3605E" w14:paraId="50125674" w14:textId="77777777">
      <w:pPr>
        <w:pStyle w:val="Disclaimer"/>
      </w:pPr>
      <w:r w:rsidRPr="00194060">
        <w:t>Disclaimer</w:t>
      </w:r>
      <w:bookmarkEnd w:id="2"/>
      <w:bookmarkEnd w:id="3"/>
      <w:bookmarkEnd w:id="4"/>
      <w:bookmarkEnd w:id="5"/>
    </w:p>
    <w:p w:rsidR="00B3605E" w:rsidP="00F91A23" w:rsidRDefault="00B3605E" w14:paraId="6A8B934E" w14:textId="77777777">
      <w:pPr>
        <w:pStyle w:val="Paragraph"/>
      </w:pPr>
      <w:r>
        <w:t xml:space="preserve">The views expressed in this academic research paper are those of the author(s) and do not reflect the official policy or position of the US government or the Department of Defense.  In accordance with Air Force Instruction 51-303, </w:t>
      </w:r>
      <w:r w:rsidRPr="00230EC3" w:rsidR="0031025C">
        <w:rPr>
          <w:i/>
        </w:rPr>
        <w:t>Intellectual Property—Patents, Patent Related Matters, Trademarks and Copyrights</w:t>
      </w:r>
      <w:r w:rsidR="0031025C">
        <w:t xml:space="preserve">, 1 September 1998, </w:t>
      </w:r>
      <w:r w:rsidR="00CC7852">
        <w:t xml:space="preserve">this research paper </w:t>
      </w:r>
      <w:r>
        <w:t>is not copyrighted but is the property of the United States government.</w:t>
      </w:r>
    </w:p>
    <w:p w:rsidR="00125394" w:rsidRDefault="00125394" w14:paraId="079EF826" w14:textId="77777777">
      <w:pPr>
        <w:jc w:val="left"/>
        <w:rPr>
          <w:rFonts w:eastAsiaTheme="minorEastAsia"/>
          <w:b/>
          <w:i/>
          <w:kern w:val="28"/>
          <w:sz w:val="28"/>
        </w:rPr>
      </w:pPr>
      <w:bookmarkStart w:name="_Toc474936031" w:id="6"/>
      <w:bookmarkStart w:name="_Toc475007623" w:id="7"/>
      <w:bookmarkStart w:name="_Toc475012985" w:id="8"/>
      <w:bookmarkStart w:name="_Toc475026328" w:id="9"/>
      <w:bookmarkStart w:name="_Toc400726741" w:id="10"/>
      <w:bookmarkStart w:name="_Toc474488188" w:id="11"/>
      <w:r>
        <w:rPr>
          <w:rFonts w:eastAsiaTheme="minorEastAsia"/>
        </w:rPr>
        <w:br w:type="page"/>
      </w:r>
    </w:p>
    <w:p w:rsidR="00125394" w:rsidP="00125394" w:rsidRDefault="00125394" w14:paraId="78A270FD" w14:textId="77777777">
      <w:pPr>
        <w:pStyle w:val="FrontMatterTitle"/>
        <w:spacing w:before="0" w:after="0"/>
        <w:rPr>
          <w:rFonts w:eastAsiaTheme="minorEastAsia"/>
        </w:rPr>
      </w:pPr>
    </w:p>
    <w:p w:rsidR="00F278ED" w:rsidP="00F278ED" w:rsidRDefault="00F278ED" w14:paraId="33FEFB1B" w14:textId="77777777">
      <w:pPr>
        <w:pStyle w:val="FrontMatterTitle"/>
        <w:spacing w:before="0"/>
        <w:rPr>
          <w:rFonts w:eastAsiaTheme="minorEastAsia"/>
        </w:rPr>
      </w:pPr>
      <w:bookmarkStart w:name="_Toc193979847" w:id="12"/>
      <w:bookmarkEnd w:id="6"/>
      <w:bookmarkEnd w:id="7"/>
      <w:bookmarkEnd w:id="8"/>
      <w:bookmarkEnd w:id="9"/>
      <w:bookmarkEnd w:id="10"/>
      <w:bookmarkEnd w:id="11"/>
      <w:r>
        <w:rPr>
          <w:rFonts w:eastAsiaTheme="minorEastAsia"/>
        </w:rPr>
        <w:t>Contents</w:t>
      </w:r>
      <w:bookmarkEnd w:id="12"/>
    </w:p>
    <w:sdt>
      <w:sdtPr>
        <w:rPr>
          <w:rFonts w:ascii="Times New Roman" w:hAnsi="Times New Roman" w:eastAsia="Times New Roman" w:cs="Times New Roman"/>
          <w:b w:val="0"/>
          <w:bCs w:val="0"/>
          <w:color w:val="auto"/>
          <w:sz w:val="24"/>
          <w:szCs w:val="20"/>
        </w:rPr>
        <w:id w:val="130759443"/>
        <w:docPartObj>
          <w:docPartGallery w:val="Table of Contents"/>
          <w:docPartUnique/>
        </w:docPartObj>
      </w:sdtPr>
      <w:sdtEndPr>
        <w:rPr>
          <w:rFonts w:ascii="Times New Roman" w:hAnsi="Times New Roman" w:eastAsia="Times New Roman" w:cs="Times New Roman"/>
          <w:b w:val="0"/>
          <w:bCs w:val="0"/>
          <w:noProof/>
          <w:color w:val="auto"/>
          <w:sz w:val="24"/>
          <w:szCs w:val="24"/>
        </w:rPr>
      </w:sdtEndPr>
      <w:sdtContent>
        <w:p w:rsidRPr="00174AEC" w:rsidR="00F278ED" w:rsidRDefault="00F278ED" w14:paraId="3C06C86E" w14:textId="0A8AA4EC">
          <w:pPr>
            <w:pStyle w:val="TOCHeading"/>
            <w:rPr>
              <w:color w:val="FFFFFF" w:themeColor="background1"/>
            </w:rPr>
          </w:pPr>
          <w:r w:rsidRPr="00174AEC">
            <w:rPr>
              <w:color w:val="FFFFFF" w:themeColor="background1"/>
            </w:rPr>
            <w:t>Contents</w:t>
          </w:r>
        </w:p>
        <w:p w:rsidR="00173E1A" w:rsidRDefault="00F278ED" w14:paraId="46FAFC35" w14:textId="128FC990">
          <w:pPr>
            <w:pStyle w:val="TOC1"/>
            <w:tabs>
              <w:tab w:val="right" w:leader="dot" w:pos="9350"/>
            </w:tabs>
            <w:rPr>
              <w:rFonts w:asciiTheme="minorHAnsi" w:hAnsiTheme="minorHAnsi" w:eastAsiaTheme="minorEastAsia" w:cstheme="minorBidi"/>
              <w:noProof/>
              <w:kern w:val="2"/>
              <w:szCs w:val="24"/>
              <w14:ligatures w14:val="standardContextual"/>
            </w:rPr>
          </w:pPr>
          <w:r>
            <w:fldChar w:fldCharType="begin"/>
          </w:r>
          <w:r>
            <w:instrText xml:space="preserve"> TOC \o "1-3" \h \z \u </w:instrText>
          </w:r>
          <w:r>
            <w:fldChar w:fldCharType="separate"/>
          </w:r>
          <w:hyperlink w:history="1" w:anchor="_Toc224562619">
            <w:r w:rsidRPr="007E5492" w:rsidR="00173E1A">
              <w:rPr>
                <w:rStyle w:val="Hyperlink"/>
                <w:i/>
                <w:iCs/>
                <w:noProof/>
              </w:rPr>
              <w:t>Abstract</w:t>
            </w:r>
            <w:r w:rsidR="00173E1A">
              <w:rPr>
                <w:noProof/>
                <w:webHidden/>
              </w:rPr>
              <w:tab/>
            </w:r>
            <w:r w:rsidR="00173E1A">
              <w:rPr>
                <w:noProof/>
                <w:webHidden/>
              </w:rPr>
              <w:fldChar w:fldCharType="begin"/>
            </w:r>
            <w:r w:rsidR="00173E1A">
              <w:rPr>
                <w:noProof/>
                <w:webHidden/>
              </w:rPr>
              <w:instrText xml:space="preserve"> PAGEREF _Toc224562619 \h </w:instrText>
            </w:r>
            <w:r w:rsidR="00173E1A">
              <w:rPr>
                <w:noProof/>
                <w:webHidden/>
              </w:rPr>
            </w:r>
            <w:r w:rsidR="00173E1A">
              <w:rPr>
                <w:noProof/>
                <w:webHidden/>
              </w:rPr>
              <w:fldChar w:fldCharType="separate"/>
            </w:r>
            <w:r w:rsidR="00173E1A">
              <w:rPr>
                <w:noProof/>
                <w:webHidden/>
              </w:rPr>
              <w:t>iv</w:t>
            </w:r>
            <w:r w:rsidR="00173E1A">
              <w:rPr>
                <w:noProof/>
                <w:webHidden/>
              </w:rPr>
              <w:fldChar w:fldCharType="end"/>
            </w:r>
          </w:hyperlink>
        </w:p>
        <w:p w:rsidR="00173E1A" w:rsidRDefault="00173E1A" w14:paraId="25AA4796" w14:textId="44728CAA">
          <w:pPr>
            <w:pStyle w:val="TOC1"/>
            <w:tabs>
              <w:tab w:val="right" w:leader="dot" w:pos="9350"/>
            </w:tabs>
            <w:rPr>
              <w:rFonts w:asciiTheme="minorHAnsi" w:hAnsiTheme="minorHAnsi" w:eastAsiaTheme="minorEastAsia" w:cstheme="minorBidi"/>
              <w:noProof/>
              <w:kern w:val="2"/>
              <w:szCs w:val="24"/>
              <w14:ligatures w14:val="standardContextual"/>
            </w:rPr>
          </w:pPr>
          <w:hyperlink w:history="1" w:anchor="_Toc224562620">
            <w:r w:rsidRPr="007E5492">
              <w:rPr>
                <w:rStyle w:val="Hyperlink"/>
                <w:noProof/>
              </w:rPr>
              <w:t>Introduction</w:t>
            </w:r>
            <w:r>
              <w:rPr>
                <w:noProof/>
                <w:webHidden/>
              </w:rPr>
              <w:tab/>
            </w:r>
            <w:r>
              <w:rPr>
                <w:noProof/>
                <w:webHidden/>
              </w:rPr>
              <w:fldChar w:fldCharType="begin"/>
            </w:r>
            <w:r>
              <w:rPr>
                <w:noProof/>
                <w:webHidden/>
              </w:rPr>
              <w:instrText xml:space="preserve"> PAGEREF _Toc224562620 \h </w:instrText>
            </w:r>
            <w:r>
              <w:rPr>
                <w:noProof/>
                <w:webHidden/>
              </w:rPr>
            </w:r>
            <w:r>
              <w:rPr>
                <w:noProof/>
                <w:webHidden/>
              </w:rPr>
              <w:fldChar w:fldCharType="separate"/>
            </w:r>
            <w:r>
              <w:rPr>
                <w:noProof/>
                <w:webHidden/>
              </w:rPr>
              <w:t>5</w:t>
            </w:r>
            <w:r>
              <w:rPr>
                <w:noProof/>
                <w:webHidden/>
              </w:rPr>
              <w:fldChar w:fldCharType="end"/>
            </w:r>
          </w:hyperlink>
        </w:p>
        <w:p w:rsidR="00173E1A" w:rsidRDefault="00173E1A" w14:paraId="1089002A" w14:textId="1BEF3F51">
          <w:pPr>
            <w:pStyle w:val="TOC1"/>
            <w:tabs>
              <w:tab w:val="right" w:leader="dot" w:pos="9350"/>
            </w:tabs>
            <w:rPr>
              <w:rFonts w:asciiTheme="minorHAnsi" w:hAnsiTheme="minorHAnsi" w:eastAsiaTheme="minorEastAsia" w:cstheme="minorBidi"/>
              <w:noProof/>
              <w:kern w:val="2"/>
              <w:szCs w:val="24"/>
              <w14:ligatures w14:val="standardContextual"/>
            </w:rPr>
          </w:pPr>
          <w:hyperlink w:history="1" w:anchor="_Toc224562621">
            <w:r w:rsidRPr="007E5492">
              <w:rPr>
                <w:rStyle w:val="Hyperlink"/>
                <w:noProof/>
              </w:rPr>
              <w:t>Feasibility Analysis</w:t>
            </w:r>
            <w:r>
              <w:rPr>
                <w:noProof/>
                <w:webHidden/>
              </w:rPr>
              <w:tab/>
            </w:r>
            <w:r>
              <w:rPr>
                <w:noProof/>
                <w:webHidden/>
              </w:rPr>
              <w:fldChar w:fldCharType="begin"/>
            </w:r>
            <w:r>
              <w:rPr>
                <w:noProof/>
                <w:webHidden/>
              </w:rPr>
              <w:instrText xml:space="preserve"> PAGEREF _Toc224562621 \h </w:instrText>
            </w:r>
            <w:r>
              <w:rPr>
                <w:noProof/>
                <w:webHidden/>
              </w:rPr>
            </w:r>
            <w:r>
              <w:rPr>
                <w:noProof/>
                <w:webHidden/>
              </w:rPr>
              <w:fldChar w:fldCharType="separate"/>
            </w:r>
            <w:r>
              <w:rPr>
                <w:noProof/>
                <w:webHidden/>
              </w:rPr>
              <w:t>7</w:t>
            </w:r>
            <w:r>
              <w:rPr>
                <w:noProof/>
                <w:webHidden/>
              </w:rPr>
              <w:fldChar w:fldCharType="end"/>
            </w:r>
          </w:hyperlink>
        </w:p>
        <w:p w:rsidR="00173E1A" w:rsidRDefault="00173E1A" w14:paraId="72D80759" w14:textId="1621C456">
          <w:pPr>
            <w:pStyle w:val="TOC3"/>
            <w:tabs>
              <w:tab w:val="right" w:leader="dot" w:pos="9350"/>
            </w:tabs>
            <w:rPr>
              <w:rFonts w:asciiTheme="minorHAnsi" w:hAnsiTheme="minorHAnsi" w:cstheme="minorBidi"/>
              <w:noProof/>
              <w:kern w:val="2"/>
              <w:szCs w:val="24"/>
              <w14:ligatures w14:val="standardContextual"/>
            </w:rPr>
          </w:pPr>
          <w:hyperlink w:history="1" w:anchor="_Toc224562622">
            <w:r w:rsidRPr="007E5492">
              <w:rPr>
                <w:rStyle w:val="Hyperlink"/>
                <w:noProof/>
              </w:rPr>
              <w:t>Mission Area Alignment Model</w:t>
            </w:r>
            <w:r>
              <w:rPr>
                <w:noProof/>
                <w:webHidden/>
              </w:rPr>
              <w:tab/>
            </w:r>
            <w:r>
              <w:rPr>
                <w:noProof/>
                <w:webHidden/>
              </w:rPr>
              <w:fldChar w:fldCharType="begin"/>
            </w:r>
            <w:r>
              <w:rPr>
                <w:noProof/>
                <w:webHidden/>
              </w:rPr>
              <w:instrText xml:space="preserve"> PAGEREF _Toc224562622 \h </w:instrText>
            </w:r>
            <w:r>
              <w:rPr>
                <w:noProof/>
                <w:webHidden/>
              </w:rPr>
            </w:r>
            <w:r>
              <w:rPr>
                <w:noProof/>
                <w:webHidden/>
              </w:rPr>
              <w:fldChar w:fldCharType="separate"/>
            </w:r>
            <w:r>
              <w:rPr>
                <w:noProof/>
                <w:webHidden/>
              </w:rPr>
              <w:t>7</w:t>
            </w:r>
            <w:r>
              <w:rPr>
                <w:noProof/>
                <w:webHidden/>
              </w:rPr>
              <w:fldChar w:fldCharType="end"/>
            </w:r>
          </w:hyperlink>
        </w:p>
        <w:p w:rsidR="00173E1A" w:rsidRDefault="00173E1A" w14:paraId="649ED518" w14:textId="4B841448">
          <w:pPr>
            <w:pStyle w:val="TOC3"/>
            <w:tabs>
              <w:tab w:val="right" w:leader="dot" w:pos="9350"/>
            </w:tabs>
            <w:rPr>
              <w:rFonts w:asciiTheme="minorHAnsi" w:hAnsiTheme="minorHAnsi" w:cstheme="minorBidi"/>
              <w:noProof/>
              <w:kern w:val="2"/>
              <w:szCs w:val="24"/>
              <w14:ligatures w14:val="standardContextual"/>
            </w:rPr>
          </w:pPr>
          <w:hyperlink w:history="1" w:anchor="_Toc224562623">
            <w:r w:rsidRPr="007E5492">
              <w:rPr>
                <w:rStyle w:val="Hyperlink"/>
                <w:noProof/>
              </w:rPr>
              <w:t>Unified Rank Structure</w:t>
            </w:r>
            <w:r>
              <w:rPr>
                <w:noProof/>
                <w:webHidden/>
              </w:rPr>
              <w:tab/>
            </w:r>
            <w:r>
              <w:rPr>
                <w:noProof/>
                <w:webHidden/>
              </w:rPr>
              <w:fldChar w:fldCharType="begin"/>
            </w:r>
            <w:r>
              <w:rPr>
                <w:noProof/>
                <w:webHidden/>
              </w:rPr>
              <w:instrText xml:space="preserve"> PAGEREF _Toc224562623 \h </w:instrText>
            </w:r>
            <w:r>
              <w:rPr>
                <w:noProof/>
                <w:webHidden/>
              </w:rPr>
            </w:r>
            <w:r>
              <w:rPr>
                <w:noProof/>
                <w:webHidden/>
              </w:rPr>
              <w:fldChar w:fldCharType="separate"/>
            </w:r>
            <w:r>
              <w:rPr>
                <w:noProof/>
                <w:webHidden/>
              </w:rPr>
              <w:t>9</w:t>
            </w:r>
            <w:r>
              <w:rPr>
                <w:noProof/>
                <w:webHidden/>
              </w:rPr>
              <w:fldChar w:fldCharType="end"/>
            </w:r>
          </w:hyperlink>
        </w:p>
        <w:p w:rsidR="00173E1A" w:rsidRDefault="00173E1A" w14:paraId="3C61EBFC" w14:textId="2D8A1DC9">
          <w:pPr>
            <w:pStyle w:val="TOC3"/>
            <w:tabs>
              <w:tab w:val="right" w:leader="dot" w:pos="9350"/>
            </w:tabs>
            <w:rPr>
              <w:rFonts w:asciiTheme="minorHAnsi" w:hAnsiTheme="minorHAnsi" w:cstheme="minorBidi"/>
              <w:noProof/>
              <w:kern w:val="2"/>
              <w:szCs w:val="24"/>
              <w14:ligatures w14:val="standardContextual"/>
            </w:rPr>
          </w:pPr>
          <w:hyperlink w:history="1" w:anchor="_Toc224562624">
            <w:r w:rsidRPr="007E5492">
              <w:rPr>
                <w:rStyle w:val="Hyperlink"/>
                <w:noProof/>
              </w:rPr>
              <w:t>Separate Technical and Leadership Tracks</w:t>
            </w:r>
            <w:r>
              <w:rPr>
                <w:noProof/>
                <w:webHidden/>
              </w:rPr>
              <w:tab/>
            </w:r>
            <w:r>
              <w:rPr>
                <w:noProof/>
                <w:webHidden/>
              </w:rPr>
              <w:fldChar w:fldCharType="begin"/>
            </w:r>
            <w:r>
              <w:rPr>
                <w:noProof/>
                <w:webHidden/>
              </w:rPr>
              <w:instrText xml:space="preserve"> PAGEREF _Toc224562624 \h </w:instrText>
            </w:r>
            <w:r>
              <w:rPr>
                <w:noProof/>
                <w:webHidden/>
              </w:rPr>
            </w:r>
            <w:r>
              <w:rPr>
                <w:noProof/>
                <w:webHidden/>
              </w:rPr>
              <w:fldChar w:fldCharType="separate"/>
            </w:r>
            <w:r>
              <w:rPr>
                <w:noProof/>
                <w:webHidden/>
              </w:rPr>
              <w:t>13</w:t>
            </w:r>
            <w:r>
              <w:rPr>
                <w:noProof/>
                <w:webHidden/>
              </w:rPr>
              <w:fldChar w:fldCharType="end"/>
            </w:r>
          </w:hyperlink>
        </w:p>
        <w:p w:rsidR="00173E1A" w:rsidRDefault="00173E1A" w14:paraId="13A6FC77" w14:textId="34AA9B28">
          <w:pPr>
            <w:pStyle w:val="TOC3"/>
            <w:tabs>
              <w:tab w:val="right" w:leader="dot" w:pos="9350"/>
            </w:tabs>
            <w:rPr>
              <w:rFonts w:asciiTheme="minorHAnsi" w:hAnsiTheme="minorHAnsi" w:cstheme="minorBidi"/>
              <w:noProof/>
              <w:kern w:val="2"/>
              <w:szCs w:val="24"/>
              <w14:ligatures w14:val="standardContextual"/>
            </w:rPr>
          </w:pPr>
          <w:hyperlink w:history="1" w:anchor="_Toc224562625">
            <w:r w:rsidRPr="007E5492">
              <w:rPr>
                <w:rStyle w:val="Hyperlink"/>
                <w:noProof/>
              </w:rPr>
              <w:t>Eliminating Specialty Codes</w:t>
            </w:r>
            <w:r>
              <w:rPr>
                <w:noProof/>
                <w:webHidden/>
              </w:rPr>
              <w:tab/>
            </w:r>
            <w:r>
              <w:rPr>
                <w:noProof/>
                <w:webHidden/>
              </w:rPr>
              <w:fldChar w:fldCharType="begin"/>
            </w:r>
            <w:r>
              <w:rPr>
                <w:noProof/>
                <w:webHidden/>
              </w:rPr>
              <w:instrText xml:space="preserve"> PAGEREF _Toc224562625 \h </w:instrText>
            </w:r>
            <w:r>
              <w:rPr>
                <w:noProof/>
                <w:webHidden/>
              </w:rPr>
            </w:r>
            <w:r>
              <w:rPr>
                <w:noProof/>
                <w:webHidden/>
              </w:rPr>
              <w:fldChar w:fldCharType="separate"/>
            </w:r>
            <w:r>
              <w:rPr>
                <w:noProof/>
                <w:webHidden/>
              </w:rPr>
              <w:t>15</w:t>
            </w:r>
            <w:r>
              <w:rPr>
                <w:noProof/>
                <w:webHidden/>
              </w:rPr>
              <w:fldChar w:fldCharType="end"/>
            </w:r>
          </w:hyperlink>
        </w:p>
        <w:p w:rsidR="00173E1A" w:rsidRDefault="00173E1A" w14:paraId="08301383" w14:textId="0CD51F98">
          <w:pPr>
            <w:pStyle w:val="TOC3"/>
            <w:tabs>
              <w:tab w:val="right" w:leader="dot" w:pos="9350"/>
            </w:tabs>
            <w:rPr>
              <w:rFonts w:asciiTheme="minorHAnsi" w:hAnsiTheme="minorHAnsi" w:cstheme="minorBidi"/>
              <w:noProof/>
              <w:kern w:val="2"/>
              <w:szCs w:val="24"/>
              <w14:ligatures w14:val="standardContextual"/>
            </w:rPr>
          </w:pPr>
          <w:hyperlink w:history="1" w:anchor="_Toc224562626">
            <w:r w:rsidRPr="007E5492">
              <w:rPr>
                <w:rStyle w:val="Hyperlink"/>
                <w:noProof/>
              </w:rPr>
              <w:t>Summary</w:t>
            </w:r>
            <w:r>
              <w:rPr>
                <w:rStyle w:val="Hyperlink"/>
                <w:noProof/>
              </w:rPr>
              <w:tab/>
            </w:r>
            <w:r>
              <w:rPr>
                <w:noProof/>
                <w:webHidden/>
              </w:rPr>
              <w:tab/>
            </w:r>
            <w:r>
              <w:rPr>
                <w:noProof/>
                <w:webHidden/>
              </w:rPr>
              <w:fldChar w:fldCharType="begin"/>
            </w:r>
            <w:r>
              <w:rPr>
                <w:noProof/>
                <w:webHidden/>
              </w:rPr>
              <w:instrText xml:space="preserve"> PAGEREF _Toc224562626 \h </w:instrText>
            </w:r>
            <w:r>
              <w:rPr>
                <w:noProof/>
                <w:webHidden/>
              </w:rPr>
            </w:r>
            <w:r>
              <w:rPr>
                <w:noProof/>
                <w:webHidden/>
              </w:rPr>
              <w:fldChar w:fldCharType="separate"/>
            </w:r>
            <w:r>
              <w:rPr>
                <w:noProof/>
                <w:webHidden/>
              </w:rPr>
              <w:t>16</w:t>
            </w:r>
            <w:r>
              <w:rPr>
                <w:noProof/>
                <w:webHidden/>
              </w:rPr>
              <w:fldChar w:fldCharType="end"/>
            </w:r>
          </w:hyperlink>
        </w:p>
        <w:p w:rsidR="00173E1A" w:rsidRDefault="00173E1A" w14:paraId="3769377F" w14:textId="37A1BE92">
          <w:pPr>
            <w:pStyle w:val="TOC1"/>
            <w:tabs>
              <w:tab w:val="right" w:leader="dot" w:pos="9350"/>
            </w:tabs>
            <w:rPr>
              <w:rFonts w:asciiTheme="minorHAnsi" w:hAnsiTheme="minorHAnsi" w:eastAsiaTheme="minorEastAsia" w:cstheme="minorBidi"/>
              <w:noProof/>
              <w:kern w:val="2"/>
              <w:szCs w:val="24"/>
              <w14:ligatures w14:val="standardContextual"/>
            </w:rPr>
          </w:pPr>
          <w:hyperlink w:history="1" w:anchor="_Toc224562627">
            <w:r w:rsidRPr="007E5492">
              <w:rPr>
                <w:rStyle w:val="Hyperlink"/>
                <w:noProof/>
              </w:rPr>
              <w:t>Impact Analysis</w:t>
            </w:r>
            <w:r>
              <w:rPr>
                <w:noProof/>
                <w:webHidden/>
              </w:rPr>
              <w:tab/>
            </w:r>
            <w:r>
              <w:rPr>
                <w:noProof/>
                <w:webHidden/>
              </w:rPr>
              <w:fldChar w:fldCharType="begin"/>
            </w:r>
            <w:r>
              <w:rPr>
                <w:noProof/>
                <w:webHidden/>
              </w:rPr>
              <w:instrText xml:space="preserve"> PAGEREF _Toc224562627 \h </w:instrText>
            </w:r>
            <w:r>
              <w:rPr>
                <w:noProof/>
                <w:webHidden/>
              </w:rPr>
            </w:r>
            <w:r>
              <w:rPr>
                <w:noProof/>
                <w:webHidden/>
              </w:rPr>
              <w:fldChar w:fldCharType="separate"/>
            </w:r>
            <w:r>
              <w:rPr>
                <w:noProof/>
                <w:webHidden/>
              </w:rPr>
              <w:t>16</w:t>
            </w:r>
            <w:r>
              <w:rPr>
                <w:noProof/>
                <w:webHidden/>
              </w:rPr>
              <w:fldChar w:fldCharType="end"/>
            </w:r>
          </w:hyperlink>
        </w:p>
        <w:p w:rsidR="00173E1A" w:rsidRDefault="00173E1A" w14:paraId="5A82D1BC" w14:textId="23DD318D">
          <w:pPr>
            <w:pStyle w:val="TOC3"/>
            <w:tabs>
              <w:tab w:val="right" w:leader="dot" w:pos="9350"/>
            </w:tabs>
            <w:rPr>
              <w:rFonts w:asciiTheme="minorHAnsi" w:hAnsiTheme="minorHAnsi" w:cstheme="minorBidi"/>
              <w:noProof/>
              <w:kern w:val="2"/>
              <w:szCs w:val="24"/>
              <w14:ligatures w14:val="standardContextual"/>
            </w:rPr>
          </w:pPr>
          <w:hyperlink w:history="1" w:anchor="_Toc224562628">
            <w:r w:rsidRPr="007E5492">
              <w:rPr>
                <w:rStyle w:val="Hyperlink"/>
                <w:noProof/>
              </w:rPr>
              <w:t>Lateral Entry</w:t>
            </w:r>
            <w:r>
              <w:rPr>
                <w:noProof/>
                <w:webHidden/>
              </w:rPr>
              <w:tab/>
            </w:r>
            <w:r>
              <w:rPr>
                <w:noProof/>
                <w:webHidden/>
              </w:rPr>
              <w:fldChar w:fldCharType="begin"/>
            </w:r>
            <w:r>
              <w:rPr>
                <w:noProof/>
                <w:webHidden/>
              </w:rPr>
              <w:instrText xml:space="preserve"> PAGEREF _Toc224562628 \h </w:instrText>
            </w:r>
            <w:r>
              <w:rPr>
                <w:noProof/>
                <w:webHidden/>
              </w:rPr>
            </w:r>
            <w:r>
              <w:rPr>
                <w:noProof/>
                <w:webHidden/>
              </w:rPr>
              <w:fldChar w:fldCharType="separate"/>
            </w:r>
            <w:r>
              <w:rPr>
                <w:noProof/>
                <w:webHidden/>
              </w:rPr>
              <w:t>17</w:t>
            </w:r>
            <w:r>
              <w:rPr>
                <w:noProof/>
                <w:webHidden/>
              </w:rPr>
              <w:fldChar w:fldCharType="end"/>
            </w:r>
          </w:hyperlink>
        </w:p>
        <w:p w:rsidR="00173E1A" w:rsidRDefault="00173E1A" w14:paraId="67B507E4" w14:textId="0545ADB7">
          <w:pPr>
            <w:pStyle w:val="TOC3"/>
            <w:tabs>
              <w:tab w:val="right" w:leader="dot" w:pos="9350"/>
            </w:tabs>
            <w:rPr>
              <w:rFonts w:asciiTheme="minorHAnsi" w:hAnsiTheme="minorHAnsi" w:cstheme="minorBidi"/>
              <w:noProof/>
              <w:kern w:val="2"/>
              <w:szCs w:val="24"/>
              <w14:ligatures w14:val="standardContextual"/>
            </w:rPr>
          </w:pPr>
          <w:hyperlink w:history="1" w:anchor="_Toc224562629">
            <w:r w:rsidRPr="007E5492">
              <w:rPr>
                <w:rStyle w:val="Hyperlink"/>
                <w:noProof/>
              </w:rPr>
              <w:t>Separate Leadership and Technical Tracks</w:t>
            </w:r>
            <w:r>
              <w:rPr>
                <w:noProof/>
                <w:webHidden/>
              </w:rPr>
              <w:tab/>
            </w:r>
            <w:r>
              <w:rPr>
                <w:noProof/>
                <w:webHidden/>
              </w:rPr>
              <w:fldChar w:fldCharType="begin"/>
            </w:r>
            <w:r>
              <w:rPr>
                <w:noProof/>
                <w:webHidden/>
              </w:rPr>
              <w:instrText xml:space="preserve"> PAGEREF _Toc224562629 \h </w:instrText>
            </w:r>
            <w:r>
              <w:rPr>
                <w:noProof/>
                <w:webHidden/>
              </w:rPr>
            </w:r>
            <w:r>
              <w:rPr>
                <w:noProof/>
                <w:webHidden/>
              </w:rPr>
              <w:fldChar w:fldCharType="separate"/>
            </w:r>
            <w:r>
              <w:rPr>
                <w:noProof/>
                <w:webHidden/>
              </w:rPr>
              <w:t>18</w:t>
            </w:r>
            <w:r>
              <w:rPr>
                <w:noProof/>
                <w:webHidden/>
              </w:rPr>
              <w:fldChar w:fldCharType="end"/>
            </w:r>
          </w:hyperlink>
        </w:p>
        <w:p w:rsidR="00173E1A" w:rsidRDefault="00173E1A" w14:paraId="26FC9391" w14:textId="13AD2D9D">
          <w:pPr>
            <w:pStyle w:val="TOC3"/>
            <w:tabs>
              <w:tab w:val="right" w:leader="dot" w:pos="9350"/>
            </w:tabs>
            <w:rPr>
              <w:rFonts w:asciiTheme="minorHAnsi" w:hAnsiTheme="minorHAnsi" w:cstheme="minorBidi"/>
              <w:noProof/>
              <w:kern w:val="2"/>
              <w:szCs w:val="24"/>
              <w14:ligatures w14:val="standardContextual"/>
            </w:rPr>
          </w:pPr>
          <w:hyperlink w:history="1" w:anchor="_Toc224562630">
            <w:r w:rsidRPr="007E5492">
              <w:rPr>
                <w:rStyle w:val="Hyperlink"/>
                <w:noProof/>
              </w:rPr>
              <w:t>Eliminating Specialty Codes</w:t>
            </w:r>
            <w:r>
              <w:rPr>
                <w:noProof/>
                <w:webHidden/>
              </w:rPr>
              <w:tab/>
            </w:r>
            <w:r>
              <w:rPr>
                <w:noProof/>
                <w:webHidden/>
              </w:rPr>
              <w:fldChar w:fldCharType="begin"/>
            </w:r>
            <w:r>
              <w:rPr>
                <w:noProof/>
                <w:webHidden/>
              </w:rPr>
              <w:instrText xml:space="preserve"> PAGEREF _Toc224562630 \h </w:instrText>
            </w:r>
            <w:r>
              <w:rPr>
                <w:noProof/>
                <w:webHidden/>
              </w:rPr>
            </w:r>
            <w:r>
              <w:rPr>
                <w:noProof/>
                <w:webHidden/>
              </w:rPr>
              <w:fldChar w:fldCharType="separate"/>
            </w:r>
            <w:r>
              <w:rPr>
                <w:noProof/>
                <w:webHidden/>
              </w:rPr>
              <w:t>19</w:t>
            </w:r>
            <w:r>
              <w:rPr>
                <w:noProof/>
                <w:webHidden/>
              </w:rPr>
              <w:fldChar w:fldCharType="end"/>
            </w:r>
          </w:hyperlink>
        </w:p>
        <w:p w:rsidR="00173E1A" w:rsidRDefault="00173E1A" w14:paraId="42B5DE11" w14:textId="6729C483">
          <w:pPr>
            <w:pStyle w:val="TOC3"/>
            <w:tabs>
              <w:tab w:val="right" w:leader="dot" w:pos="9350"/>
            </w:tabs>
            <w:rPr>
              <w:rFonts w:asciiTheme="minorHAnsi" w:hAnsiTheme="minorHAnsi" w:cstheme="minorBidi"/>
              <w:noProof/>
              <w:kern w:val="2"/>
              <w:szCs w:val="24"/>
              <w14:ligatures w14:val="standardContextual"/>
            </w:rPr>
          </w:pPr>
          <w:hyperlink w:history="1" w:anchor="_Toc224562631">
            <w:r w:rsidRPr="007E5492">
              <w:rPr>
                <w:rStyle w:val="Hyperlink"/>
                <w:noProof/>
              </w:rPr>
              <w:t>Summary</w:t>
            </w:r>
            <w:r>
              <w:rPr>
                <w:rStyle w:val="Hyperlink"/>
                <w:noProof/>
              </w:rPr>
              <w:tab/>
            </w:r>
            <w:r>
              <w:rPr>
                <w:noProof/>
                <w:webHidden/>
              </w:rPr>
              <w:tab/>
            </w:r>
            <w:r>
              <w:rPr>
                <w:noProof/>
                <w:webHidden/>
              </w:rPr>
              <w:fldChar w:fldCharType="begin"/>
            </w:r>
            <w:r>
              <w:rPr>
                <w:noProof/>
                <w:webHidden/>
              </w:rPr>
              <w:instrText xml:space="preserve"> PAGEREF _Toc224562631 \h </w:instrText>
            </w:r>
            <w:r>
              <w:rPr>
                <w:noProof/>
                <w:webHidden/>
              </w:rPr>
            </w:r>
            <w:r>
              <w:rPr>
                <w:noProof/>
                <w:webHidden/>
              </w:rPr>
              <w:fldChar w:fldCharType="separate"/>
            </w:r>
            <w:r>
              <w:rPr>
                <w:noProof/>
                <w:webHidden/>
              </w:rPr>
              <w:t>20</w:t>
            </w:r>
            <w:r>
              <w:rPr>
                <w:noProof/>
                <w:webHidden/>
              </w:rPr>
              <w:fldChar w:fldCharType="end"/>
            </w:r>
          </w:hyperlink>
        </w:p>
        <w:p w:rsidR="00173E1A" w:rsidRDefault="00173E1A" w14:paraId="56151B73" w14:textId="33EB5BC6">
          <w:pPr>
            <w:pStyle w:val="TOC1"/>
            <w:tabs>
              <w:tab w:val="right" w:leader="dot" w:pos="9350"/>
            </w:tabs>
            <w:rPr>
              <w:rFonts w:asciiTheme="minorHAnsi" w:hAnsiTheme="minorHAnsi" w:eastAsiaTheme="minorEastAsia" w:cstheme="minorBidi"/>
              <w:noProof/>
              <w:kern w:val="2"/>
              <w:szCs w:val="24"/>
              <w14:ligatures w14:val="standardContextual"/>
            </w:rPr>
          </w:pPr>
          <w:hyperlink w:history="1" w:anchor="_Toc224562632">
            <w:r w:rsidRPr="007E5492">
              <w:rPr>
                <w:rStyle w:val="Hyperlink"/>
                <w:noProof/>
              </w:rPr>
              <w:t>Recommendations and Implementation Strategy</w:t>
            </w:r>
            <w:r>
              <w:rPr>
                <w:noProof/>
                <w:webHidden/>
              </w:rPr>
              <w:tab/>
            </w:r>
            <w:r>
              <w:rPr>
                <w:noProof/>
                <w:webHidden/>
              </w:rPr>
              <w:fldChar w:fldCharType="begin"/>
            </w:r>
            <w:r>
              <w:rPr>
                <w:noProof/>
                <w:webHidden/>
              </w:rPr>
              <w:instrText xml:space="preserve"> PAGEREF _Toc224562632 \h </w:instrText>
            </w:r>
            <w:r>
              <w:rPr>
                <w:noProof/>
                <w:webHidden/>
              </w:rPr>
            </w:r>
            <w:r>
              <w:rPr>
                <w:noProof/>
                <w:webHidden/>
              </w:rPr>
              <w:fldChar w:fldCharType="separate"/>
            </w:r>
            <w:r>
              <w:rPr>
                <w:noProof/>
                <w:webHidden/>
              </w:rPr>
              <w:t>20</w:t>
            </w:r>
            <w:r>
              <w:rPr>
                <w:noProof/>
                <w:webHidden/>
              </w:rPr>
              <w:fldChar w:fldCharType="end"/>
            </w:r>
          </w:hyperlink>
        </w:p>
        <w:p w:rsidR="00173E1A" w:rsidRDefault="00173E1A" w14:paraId="02CAEC7D" w14:textId="27B0B7A4">
          <w:pPr>
            <w:pStyle w:val="TOC1"/>
            <w:tabs>
              <w:tab w:val="right" w:leader="dot" w:pos="9350"/>
            </w:tabs>
            <w:rPr>
              <w:rFonts w:asciiTheme="minorHAnsi" w:hAnsiTheme="minorHAnsi" w:eastAsiaTheme="minorEastAsia" w:cstheme="minorBidi"/>
              <w:noProof/>
              <w:kern w:val="2"/>
              <w:szCs w:val="24"/>
              <w14:ligatures w14:val="standardContextual"/>
            </w:rPr>
          </w:pPr>
          <w:hyperlink w:history="1" w:anchor="_Toc224562633">
            <w:r w:rsidRPr="007E5492">
              <w:rPr>
                <w:rStyle w:val="Hyperlink"/>
                <w:noProof/>
              </w:rPr>
              <w:t>Conclusion</w:t>
            </w:r>
            <w:r>
              <w:rPr>
                <w:noProof/>
                <w:webHidden/>
              </w:rPr>
              <w:tab/>
            </w:r>
            <w:r>
              <w:rPr>
                <w:noProof/>
                <w:webHidden/>
              </w:rPr>
              <w:fldChar w:fldCharType="begin"/>
            </w:r>
            <w:r>
              <w:rPr>
                <w:noProof/>
                <w:webHidden/>
              </w:rPr>
              <w:instrText xml:space="preserve"> PAGEREF _Toc224562633 \h </w:instrText>
            </w:r>
            <w:r>
              <w:rPr>
                <w:noProof/>
                <w:webHidden/>
              </w:rPr>
            </w:r>
            <w:r>
              <w:rPr>
                <w:noProof/>
                <w:webHidden/>
              </w:rPr>
              <w:fldChar w:fldCharType="separate"/>
            </w:r>
            <w:r>
              <w:rPr>
                <w:noProof/>
                <w:webHidden/>
              </w:rPr>
              <w:t>25</w:t>
            </w:r>
            <w:r>
              <w:rPr>
                <w:noProof/>
                <w:webHidden/>
              </w:rPr>
              <w:fldChar w:fldCharType="end"/>
            </w:r>
          </w:hyperlink>
        </w:p>
        <w:p w:rsidR="00173E1A" w:rsidRDefault="00173E1A" w14:paraId="3DDF257E" w14:textId="317E1D2C">
          <w:pPr>
            <w:pStyle w:val="TOC1"/>
            <w:tabs>
              <w:tab w:val="right" w:leader="dot" w:pos="9350"/>
            </w:tabs>
            <w:rPr>
              <w:rFonts w:asciiTheme="minorHAnsi" w:hAnsiTheme="minorHAnsi" w:eastAsiaTheme="minorEastAsia" w:cstheme="minorBidi"/>
              <w:noProof/>
              <w:kern w:val="2"/>
              <w:szCs w:val="24"/>
              <w14:ligatures w14:val="standardContextual"/>
            </w:rPr>
          </w:pPr>
          <w:hyperlink w:history="1" w:anchor="_Toc224562634">
            <w:r w:rsidRPr="007E5492">
              <w:rPr>
                <w:rStyle w:val="Hyperlink"/>
                <w:noProof/>
              </w:rPr>
              <w:t>References:</w:t>
            </w:r>
            <w:r>
              <w:rPr>
                <w:noProof/>
                <w:webHidden/>
              </w:rPr>
              <w:tab/>
            </w:r>
            <w:r>
              <w:rPr>
                <w:noProof/>
                <w:webHidden/>
              </w:rPr>
              <w:fldChar w:fldCharType="begin"/>
            </w:r>
            <w:r>
              <w:rPr>
                <w:noProof/>
                <w:webHidden/>
              </w:rPr>
              <w:instrText xml:space="preserve"> PAGEREF _Toc224562634 \h </w:instrText>
            </w:r>
            <w:r>
              <w:rPr>
                <w:noProof/>
                <w:webHidden/>
              </w:rPr>
            </w:r>
            <w:r>
              <w:rPr>
                <w:noProof/>
                <w:webHidden/>
              </w:rPr>
              <w:fldChar w:fldCharType="separate"/>
            </w:r>
            <w:r>
              <w:rPr>
                <w:noProof/>
                <w:webHidden/>
              </w:rPr>
              <w:t>26</w:t>
            </w:r>
            <w:r>
              <w:rPr>
                <w:noProof/>
                <w:webHidden/>
              </w:rPr>
              <w:fldChar w:fldCharType="end"/>
            </w:r>
          </w:hyperlink>
        </w:p>
        <w:p w:rsidR="00173E1A" w:rsidRDefault="00173E1A" w14:paraId="34AE2174" w14:textId="6A7C6FD8">
          <w:pPr>
            <w:pStyle w:val="TOC1"/>
            <w:tabs>
              <w:tab w:val="right" w:leader="dot" w:pos="9350"/>
            </w:tabs>
            <w:rPr>
              <w:rFonts w:asciiTheme="minorHAnsi" w:hAnsiTheme="minorHAnsi" w:eastAsiaTheme="minorEastAsia" w:cstheme="minorBidi"/>
              <w:noProof/>
              <w:kern w:val="2"/>
              <w:szCs w:val="24"/>
              <w14:ligatures w14:val="standardContextual"/>
            </w:rPr>
          </w:pPr>
          <w:hyperlink w:history="1" w:anchor="_Toc224562635">
            <w:r w:rsidRPr="007E5492">
              <w:rPr>
                <w:rStyle w:val="Hyperlink"/>
                <w:noProof/>
              </w:rPr>
              <w:t>Appendices</w:t>
            </w:r>
            <w:r>
              <w:rPr>
                <w:noProof/>
                <w:webHidden/>
              </w:rPr>
              <w:tab/>
            </w:r>
            <w:r>
              <w:rPr>
                <w:noProof/>
                <w:webHidden/>
              </w:rPr>
              <w:fldChar w:fldCharType="begin"/>
            </w:r>
            <w:r>
              <w:rPr>
                <w:noProof/>
                <w:webHidden/>
              </w:rPr>
              <w:instrText xml:space="preserve"> PAGEREF _Toc224562635 \h </w:instrText>
            </w:r>
            <w:r>
              <w:rPr>
                <w:noProof/>
                <w:webHidden/>
              </w:rPr>
            </w:r>
            <w:r>
              <w:rPr>
                <w:noProof/>
                <w:webHidden/>
              </w:rPr>
              <w:fldChar w:fldCharType="separate"/>
            </w:r>
            <w:r>
              <w:rPr>
                <w:noProof/>
                <w:webHidden/>
              </w:rPr>
              <w:t>29</w:t>
            </w:r>
            <w:r>
              <w:rPr>
                <w:noProof/>
                <w:webHidden/>
              </w:rPr>
              <w:fldChar w:fldCharType="end"/>
            </w:r>
          </w:hyperlink>
        </w:p>
        <w:p w:rsidR="00173E1A" w:rsidRDefault="00173E1A" w14:paraId="17461EFB" w14:textId="0016B25A">
          <w:pPr>
            <w:pStyle w:val="TOC3"/>
            <w:tabs>
              <w:tab w:val="right" w:leader="dot" w:pos="9350"/>
            </w:tabs>
            <w:rPr>
              <w:rFonts w:asciiTheme="minorHAnsi" w:hAnsiTheme="minorHAnsi" w:cstheme="minorBidi"/>
              <w:noProof/>
              <w:kern w:val="2"/>
              <w:szCs w:val="24"/>
              <w14:ligatures w14:val="standardContextual"/>
            </w:rPr>
          </w:pPr>
          <w:hyperlink w:history="1" w:anchor="_Toc224562636">
            <w:r w:rsidRPr="007E5492">
              <w:rPr>
                <w:rStyle w:val="Hyperlink"/>
                <w:noProof/>
              </w:rPr>
              <w:t>Appendix A – Current Space Force Structure</w:t>
            </w:r>
            <w:r>
              <w:rPr>
                <w:noProof/>
                <w:webHidden/>
              </w:rPr>
              <w:tab/>
            </w:r>
            <w:r>
              <w:rPr>
                <w:noProof/>
                <w:webHidden/>
              </w:rPr>
              <w:fldChar w:fldCharType="begin"/>
            </w:r>
            <w:r>
              <w:rPr>
                <w:noProof/>
                <w:webHidden/>
              </w:rPr>
              <w:instrText xml:space="preserve"> PAGEREF _Toc224562636 \h </w:instrText>
            </w:r>
            <w:r>
              <w:rPr>
                <w:noProof/>
                <w:webHidden/>
              </w:rPr>
            </w:r>
            <w:r>
              <w:rPr>
                <w:noProof/>
                <w:webHidden/>
              </w:rPr>
              <w:fldChar w:fldCharType="separate"/>
            </w:r>
            <w:r>
              <w:rPr>
                <w:noProof/>
                <w:webHidden/>
              </w:rPr>
              <w:t>29</w:t>
            </w:r>
            <w:r>
              <w:rPr>
                <w:noProof/>
                <w:webHidden/>
              </w:rPr>
              <w:fldChar w:fldCharType="end"/>
            </w:r>
          </w:hyperlink>
        </w:p>
        <w:p w:rsidR="00173E1A" w:rsidRDefault="00173E1A" w14:paraId="781F53BA" w14:textId="77A21F47">
          <w:pPr>
            <w:pStyle w:val="TOC3"/>
            <w:tabs>
              <w:tab w:val="right" w:leader="dot" w:pos="9350"/>
            </w:tabs>
            <w:rPr>
              <w:rFonts w:asciiTheme="minorHAnsi" w:hAnsiTheme="minorHAnsi" w:cstheme="minorBidi"/>
              <w:noProof/>
              <w:kern w:val="2"/>
              <w:szCs w:val="24"/>
              <w14:ligatures w14:val="standardContextual"/>
            </w:rPr>
          </w:pPr>
          <w:hyperlink w:history="1" w:anchor="_Toc224562637">
            <w:r w:rsidRPr="007E5492">
              <w:rPr>
                <w:rStyle w:val="Hyperlink"/>
                <w:noProof/>
              </w:rPr>
              <w:t>Appendix B – Proposed Structure</w:t>
            </w:r>
            <w:r>
              <w:rPr>
                <w:noProof/>
                <w:webHidden/>
              </w:rPr>
              <w:tab/>
            </w:r>
            <w:r>
              <w:rPr>
                <w:noProof/>
                <w:webHidden/>
              </w:rPr>
              <w:fldChar w:fldCharType="begin"/>
            </w:r>
            <w:r>
              <w:rPr>
                <w:noProof/>
                <w:webHidden/>
              </w:rPr>
              <w:instrText xml:space="preserve"> PAGEREF _Toc224562637 \h </w:instrText>
            </w:r>
            <w:r>
              <w:rPr>
                <w:noProof/>
                <w:webHidden/>
              </w:rPr>
            </w:r>
            <w:r>
              <w:rPr>
                <w:noProof/>
                <w:webHidden/>
              </w:rPr>
              <w:fldChar w:fldCharType="separate"/>
            </w:r>
            <w:r>
              <w:rPr>
                <w:noProof/>
                <w:webHidden/>
              </w:rPr>
              <w:t>30</w:t>
            </w:r>
            <w:r>
              <w:rPr>
                <w:noProof/>
                <w:webHidden/>
              </w:rPr>
              <w:fldChar w:fldCharType="end"/>
            </w:r>
          </w:hyperlink>
        </w:p>
        <w:p w:rsidR="00173E1A" w:rsidRDefault="00173E1A" w14:paraId="64DC10E3" w14:textId="316EF958">
          <w:pPr>
            <w:pStyle w:val="TOC3"/>
            <w:tabs>
              <w:tab w:val="right" w:leader="dot" w:pos="9350"/>
            </w:tabs>
            <w:rPr>
              <w:rFonts w:asciiTheme="minorHAnsi" w:hAnsiTheme="minorHAnsi" w:cstheme="minorBidi"/>
              <w:noProof/>
              <w:kern w:val="2"/>
              <w:szCs w:val="24"/>
              <w14:ligatures w14:val="standardContextual"/>
            </w:rPr>
          </w:pPr>
          <w:hyperlink w:history="1" w:anchor="_Toc224562638">
            <w:r w:rsidRPr="007E5492">
              <w:rPr>
                <w:rStyle w:val="Hyperlink"/>
                <w:noProof/>
              </w:rPr>
              <w:t>Appendix C – Unified rank structure</w:t>
            </w:r>
            <w:r>
              <w:rPr>
                <w:noProof/>
                <w:webHidden/>
              </w:rPr>
              <w:tab/>
            </w:r>
            <w:r>
              <w:rPr>
                <w:noProof/>
                <w:webHidden/>
              </w:rPr>
              <w:fldChar w:fldCharType="begin"/>
            </w:r>
            <w:r>
              <w:rPr>
                <w:noProof/>
                <w:webHidden/>
              </w:rPr>
              <w:instrText xml:space="preserve"> PAGEREF _Toc224562638 \h </w:instrText>
            </w:r>
            <w:r>
              <w:rPr>
                <w:noProof/>
                <w:webHidden/>
              </w:rPr>
            </w:r>
            <w:r>
              <w:rPr>
                <w:noProof/>
                <w:webHidden/>
              </w:rPr>
              <w:fldChar w:fldCharType="separate"/>
            </w:r>
            <w:r>
              <w:rPr>
                <w:noProof/>
                <w:webHidden/>
              </w:rPr>
              <w:t>31</w:t>
            </w:r>
            <w:r>
              <w:rPr>
                <w:noProof/>
                <w:webHidden/>
              </w:rPr>
              <w:fldChar w:fldCharType="end"/>
            </w:r>
          </w:hyperlink>
        </w:p>
        <w:p w:rsidR="00173E1A" w:rsidRDefault="00173E1A" w14:paraId="6980BA4A" w14:textId="559A409F">
          <w:pPr>
            <w:pStyle w:val="TOC3"/>
            <w:tabs>
              <w:tab w:val="right" w:leader="dot" w:pos="9350"/>
            </w:tabs>
            <w:rPr>
              <w:rFonts w:asciiTheme="minorHAnsi" w:hAnsiTheme="minorHAnsi" w:cstheme="minorBidi"/>
              <w:noProof/>
              <w:kern w:val="2"/>
              <w:szCs w:val="24"/>
              <w14:ligatures w14:val="standardContextual"/>
            </w:rPr>
          </w:pPr>
          <w:hyperlink w:history="1" w:anchor="_Toc224562639">
            <w:r w:rsidRPr="007E5492">
              <w:rPr>
                <w:rStyle w:val="Hyperlink"/>
                <w:noProof/>
              </w:rPr>
              <w:t>Appendix D – Career Specialty Code Example</w:t>
            </w:r>
            <w:r>
              <w:rPr>
                <w:noProof/>
                <w:webHidden/>
              </w:rPr>
              <w:tab/>
            </w:r>
            <w:r>
              <w:rPr>
                <w:noProof/>
                <w:webHidden/>
              </w:rPr>
              <w:fldChar w:fldCharType="begin"/>
            </w:r>
            <w:r>
              <w:rPr>
                <w:noProof/>
                <w:webHidden/>
              </w:rPr>
              <w:instrText xml:space="preserve"> PAGEREF _Toc224562639 \h </w:instrText>
            </w:r>
            <w:r>
              <w:rPr>
                <w:noProof/>
                <w:webHidden/>
              </w:rPr>
            </w:r>
            <w:r>
              <w:rPr>
                <w:noProof/>
                <w:webHidden/>
              </w:rPr>
              <w:fldChar w:fldCharType="separate"/>
            </w:r>
            <w:r>
              <w:rPr>
                <w:noProof/>
                <w:webHidden/>
              </w:rPr>
              <w:t>32</w:t>
            </w:r>
            <w:r>
              <w:rPr>
                <w:noProof/>
                <w:webHidden/>
              </w:rPr>
              <w:fldChar w:fldCharType="end"/>
            </w:r>
          </w:hyperlink>
        </w:p>
        <w:p w:rsidR="00F278ED" w:rsidRDefault="00F278ED" w14:paraId="6B44013F" w14:textId="0A77A352">
          <w:r>
            <w:rPr>
              <w:b/>
              <w:bCs/>
              <w:noProof/>
            </w:rPr>
            <w:fldChar w:fldCharType="end"/>
          </w:r>
        </w:p>
      </w:sdtContent>
    </w:sdt>
    <w:p w:rsidR="00194060" w:rsidP="00F278ED" w:rsidRDefault="00194060" w14:paraId="79E6D762" w14:textId="77777777">
      <w:pPr>
        <w:pStyle w:val="TableofFigures"/>
        <w:tabs>
          <w:tab w:val="clear" w:pos="8640"/>
          <w:tab w:val="left" w:pos="9360"/>
        </w:tabs>
        <w:ind w:left="547" w:right="0" w:hanging="547"/>
      </w:pPr>
    </w:p>
    <w:p w:rsidRPr="0095042F" w:rsidR="0095042F" w:rsidP="0095042F" w:rsidRDefault="0095042F" w14:paraId="1B453D23" w14:textId="77777777"/>
    <w:p w:rsidR="0095042F" w:rsidP="0095042F" w:rsidRDefault="0095042F" w14:paraId="253894FC" w14:textId="6C05446F">
      <w:pPr>
        <w:tabs>
          <w:tab w:val="left" w:pos="8670"/>
        </w:tabs>
        <w:rPr>
          <w:noProof/>
        </w:rPr>
      </w:pPr>
      <w:r>
        <w:rPr>
          <w:noProof/>
        </w:rPr>
        <w:tab/>
      </w:r>
    </w:p>
    <w:p w:rsidRPr="0095042F" w:rsidR="0095042F" w:rsidP="0095042F" w:rsidRDefault="0095042F" w14:paraId="3F833C7D" w14:textId="188972C9">
      <w:pPr>
        <w:tabs>
          <w:tab w:val="left" w:pos="8670"/>
        </w:tabs>
        <w:sectPr w:rsidRPr="0095042F" w:rsidR="0095042F">
          <w:endnotePr>
            <w:numFmt w:val="decimal"/>
            <w:numRestart w:val="eachSect"/>
          </w:endnotePr>
          <w:pgSz w:w="12240" w:h="15840" w:orient="portrait"/>
          <w:pgMar w:top="1440" w:right="1440" w:bottom="1440" w:left="1440" w:header="720" w:footer="720" w:gutter="0"/>
          <w:pgNumType w:fmt="lowerRoman"/>
          <w:cols w:space="720"/>
          <w:titlePg/>
        </w:sectPr>
      </w:pPr>
      <w:r>
        <w:tab/>
      </w:r>
    </w:p>
    <w:p w:rsidRPr="00F278ED" w:rsidR="00531249" w:rsidP="00F278ED" w:rsidRDefault="000A2F00" w14:paraId="23DA59B0" w14:textId="3661DBD3">
      <w:pPr>
        <w:pStyle w:val="Heading1"/>
        <w:jc w:val="center"/>
        <w:rPr>
          <w:rFonts w:ascii="Times New Roman" w:hAnsi="Times New Roman"/>
          <w:i/>
          <w:iCs/>
        </w:rPr>
      </w:pPr>
      <w:bookmarkStart w:name="_Toc475007627" w:id="13"/>
      <w:bookmarkStart w:name="_Toc193979851" w:id="14"/>
      <w:bookmarkStart w:name="_Toc224562619" w:id="15"/>
      <w:r w:rsidRPr="00F278ED">
        <w:rPr>
          <w:rFonts w:ascii="Times New Roman" w:hAnsi="Times New Roman"/>
          <w:i/>
          <w:iCs/>
        </w:rPr>
        <w:t>Abstract</w:t>
      </w:r>
      <w:bookmarkEnd w:id="13"/>
      <w:bookmarkEnd w:id="14"/>
      <w:bookmarkEnd w:id="15"/>
    </w:p>
    <w:p w:rsidR="00531249" w:rsidRDefault="00531249" w14:paraId="0AAF6AD1" w14:textId="77777777">
      <w:pPr>
        <w:pStyle w:val="Paragraph"/>
      </w:pPr>
    </w:p>
    <w:p w:rsidR="00E10511" w:rsidP="00E10511" w:rsidRDefault="00E10511" w14:paraId="423E1175" w14:textId="4B8CC309">
      <w:pPr>
        <w:pStyle w:val="Paragraph"/>
      </w:pPr>
      <w:r w:rsidRPr="001679BB">
        <w:t>A 2026 HAC-D Spending Bill Report include</w:t>
      </w:r>
      <w:r>
        <w:t>d</w:t>
      </w:r>
      <w:r w:rsidRPr="001679BB">
        <w:t xml:space="preserve"> language for the Space Force to </w:t>
      </w:r>
      <w:r>
        <w:t xml:space="preserve">assess </w:t>
      </w:r>
      <w:r w:rsidRPr="001679BB">
        <w:t xml:space="preserve">organizational restructure, eliminating </w:t>
      </w:r>
      <w:r>
        <w:t>career specialt</w:t>
      </w:r>
      <w:r w:rsidR="00AB6664">
        <w:t>ies</w:t>
      </w:r>
      <w:r w:rsidRPr="001679BB">
        <w:t xml:space="preserve">, creating </w:t>
      </w:r>
      <w:r>
        <w:t xml:space="preserve">separate </w:t>
      </w:r>
      <w:r w:rsidRPr="001679BB">
        <w:t>technical and leader track</w:t>
      </w:r>
      <w:r>
        <w:t>s</w:t>
      </w:r>
      <w:r w:rsidRPr="001679BB">
        <w:t>, combining the officer and enlisted corps to one rank system</w:t>
      </w:r>
      <w:r>
        <w:t>, and</w:t>
      </w:r>
      <w:r w:rsidRPr="001679BB">
        <w:t xml:space="preserve"> allows for lateral entry from the private sector based on varying professional and educational experience.</w:t>
      </w:r>
      <w:r>
        <w:t xml:space="preserve"> This paper assesses those initiatives from a policy perspective, including relevant law, Department of War instruction, and service level guidance. Additionally, this paper includes views from Space Force doctrine and the Chief of Space Operations. Each initiative is assessed through the lenses of feasibility and advisability.</w:t>
      </w:r>
    </w:p>
    <w:p w:rsidR="00B3605E" w:rsidP="00304EDF" w:rsidRDefault="00E10511" w14:paraId="070F9E6F" w14:textId="5869CE2B">
      <w:pPr>
        <w:pStyle w:val="Paragraph"/>
      </w:pPr>
      <w:r>
        <w:t xml:space="preserve">The findings of this paper conclude that the goals of the policies are largely desirable, but there are more efficient and feasible ways to reach those goals. The mission area alignment model that realigns the FIELDCOM structure is unfeasible due to requisite basing actions and likely BRAC requirements, </w:t>
      </w:r>
      <w:r w:rsidR="00E77884">
        <w:t>and</w:t>
      </w:r>
      <w:r>
        <w:t xml:space="preserve"> the Mission Delta model accomplishes the desired end state more effectively. Additionally, the unified rank structure is unfeasible as well due to legal </w:t>
      </w:r>
      <w:r w:rsidR="00E77884">
        <w:t xml:space="preserve">and joint </w:t>
      </w:r>
      <w:r>
        <w:t xml:space="preserve">constraints, culture integration, and service desire. However, direct commission and the part time guardian program present opportunities. Separate technical and leadership tracks are equally undesired, but technical expertise is highly valued and there are avenues to further incentive specific technical skillsets. Additionally eliminating career field codes creates a myriad of difficulties, but there are existing parameters for specialty experience tracking. Finally, Space Force should partner with the Air Force to create a base level corps to deliver the talent management outcomes. </w:t>
      </w:r>
    </w:p>
    <w:p w:rsidRPr="00E10511" w:rsidR="00E10511" w:rsidP="00E10511" w:rsidRDefault="00E10511" w14:paraId="06151C2A" w14:textId="6A2B1142">
      <w:pPr>
        <w:pStyle w:val="ChapterTitle"/>
        <w:sectPr w:rsidRPr="00E10511" w:rsidR="00E10511">
          <w:endnotePr>
            <w:numFmt w:val="decimal"/>
            <w:numRestart w:val="eachSect"/>
          </w:endnotePr>
          <w:pgSz w:w="12240" w:h="15840" w:orient="portrait"/>
          <w:pgMar w:top="1440" w:right="1440" w:bottom="1440" w:left="1440" w:header="720" w:footer="720" w:gutter="0"/>
          <w:pgNumType w:fmt="lowerRoman"/>
          <w:cols w:space="720"/>
          <w:titlePg/>
        </w:sectPr>
      </w:pPr>
    </w:p>
    <w:p w:rsidRPr="00F278ED" w:rsidR="009A5DC6" w:rsidP="00F278ED" w:rsidRDefault="009A5DC6" w14:paraId="72E61F0B" w14:textId="52CFC982">
      <w:pPr>
        <w:pStyle w:val="Heading1"/>
        <w:rPr>
          <w:rFonts w:ascii="Times New Roman" w:hAnsi="Times New Roman"/>
          <w:sz w:val="24"/>
          <w:szCs w:val="24"/>
        </w:rPr>
      </w:pPr>
      <w:bookmarkStart w:name="_Toc224133522" w:id="16"/>
      <w:bookmarkStart w:name="_Toc224562620" w:id="17"/>
      <w:r w:rsidRPr="00F278ED">
        <w:rPr>
          <w:rFonts w:ascii="Times New Roman" w:hAnsi="Times New Roman"/>
          <w:sz w:val="24"/>
          <w:szCs w:val="24"/>
        </w:rPr>
        <w:t>Introduction</w:t>
      </w:r>
      <w:bookmarkEnd w:id="16"/>
      <w:bookmarkEnd w:id="17"/>
    </w:p>
    <w:p w:rsidRPr="001679BB" w:rsidR="009A5DC6" w:rsidP="009A5DC6" w:rsidRDefault="009A5DC6" w14:paraId="0141D426" w14:textId="6E97FD33">
      <w:pPr>
        <w:spacing w:line="480" w:lineRule="auto"/>
        <w:ind w:firstLine="720"/>
      </w:pPr>
      <w:r w:rsidRPr="001679BB">
        <w:t>A 2026 HAC-D Spending Bill Report includes language for the United States Space Force to create a plan to build a novel paradigm of talent management to better fit the service needs. The congressional language includes organizational restructure, moving from the FIELDCOM concept to organizing by specific mission area, eliminating specialty codes across the force and replacing them with varying technical certifications, creating a bifurcated technical and leader track, and combining the officer and enlisted corps to one rank system</w:t>
      </w:r>
      <w:r w:rsidR="00E77884">
        <w:t xml:space="preserve">. </w:t>
      </w:r>
      <w:r w:rsidRPr="001679BB">
        <w:t>The language originated from a 2025 thought piece entitled “</w:t>
      </w:r>
      <w:r w:rsidRPr="001679BB">
        <w:rPr>
          <w:i/>
          <w:iCs/>
        </w:rPr>
        <w:t>Embracing Space Force Exceptionalism</w:t>
      </w:r>
      <w:r w:rsidRPr="001679BB">
        <w:t xml:space="preserve">” by Todd Harrison, a senior fellow at the American Enterprise Institute, and his proposals are what this paper will use as the basis of analysis. </w:t>
      </w:r>
      <w:r w:rsidR="00E77884">
        <w:t xml:space="preserve">That proposal included expanded lateral entry into the Space Force as well. </w:t>
      </w:r>
      <w:r w:rsidRPr="001679BB">
        <w:t>The ideas provide both significant potential upside and significant risk in terms of joint interoperability and the unknowns of an untested methodology. Additionally, the Space Force currently lacks the organic capability to execute any of the proposals without legislative changes and its own talent management arm or systems, so this would require significant fiscal and congressional involvement.</w:t>
      </w:r>
    </w:p>
    <w:p w:rsidRPr="001679BB" w:rsidR="009A5DC6" w:rsidP="009A5DC6" w:rsidRDefault="009A5DC6" w14:paraId="55745FB0" w14:textId="59225AF8">
      <w:pPr>
        <w:spacing w:line="480" w:lineRule="auto"/>
        <w:ind w:firstLine="720"/>
      </w:pPr>
      <w:r w:rsidRPr="001679BB">
        <w:t xml:space="preserve">Eliminating the FIELDCOMs and </w:t>
      </w:r>
      <w:r w:rsidRPr="001679BB" w:rsidR="00980CDB">
        <w:t>organizing them</w:t>
      </w:r>
      <w:r w:rsidRPr="001679BB">
        <w:t xml:space="preserve"> by specific mission area takes the Mission Delta concept the </w:t>
      </w:r>
      <w:r w:rsidR="00E77884">
        <w:t>Space Force</w:t>
      </w:r>
      <w:r w:rsidRPr="001679BB">
        <w:t xml:space="preserve"> is already implementing and expands to the overall force structure. Mission Deltas consolidate the units performing operations, cyber defense and intelligence support with Space Systems Command program offices that perform operational equipment maintenance, enhancements and application-layer software development (George, 2024). This construct enables the Deltas to harness economies of scope from developing and directly managing their personnel, operations, and equipment. Expanding this program to remove FIELDCOMs would move the entire organization into nine specific mission areas diagramed in Appendix </w:t>
      </w:r>
      <w:r w:rsidR="00F278ED">
        <w:t>B</w:t>
      </w:r>
      <w:r w:rsidRPr="001679BB">
        <w:t>.</w:t>
      </w:r>
    </w:p>
    <w:p w:rsidRPr="001679BB" w:rsidR="009A5DC6" w:rsidP="009A5DC6" w:rsidRDefault="009A5DC6" w14:paraId="6C87D161" w14:textId="2CA2F3F7">
      <w:pPr>
        <w:spacing w:line="480" w:lineRule="auto"/>
        <w:ind w:firstLine="720"/>
      </w:pPr>
      <w:r w:rsidRPr="001679BB">
        <w:t xml:space="preserve">The changes to personnel management are also partly in line with areas the Space Force is already pursuing. Developing a Specialty Code agnostic force has been </w:t>
      </w:r>
      <w:r w:rsidRPr="001679BB" w:rsidR="00CF28E2">
        <w:t>investigated</w:t>
      </w:r>
      <w:r w:rsidRPr="001679BB">
        <w:t>, including a RAND study, since the Space Force stood up (Hanser, 2023). Mr. Harrison advocates the force could accomplish it with varying educational and experience-based certifications that members could attain and billets could require</w:t>
      </w:r>
      <w:r w:rsidR="00E77884">
        <w:t>, and</w:t>
      </w:r>
      <w:r w:rsidRPr="001679BB">
        <w:t xml:space="preserve"> RAND argues for something similar</w:t>
      </w:r>
      <w:r w:rsidR="00E77884">
        <w:t>.</w:t>
      </w:r>
      <w:r w:rsidRPr="001679BB">
        <w:t xml:space="preserve"> </w:t>
      </w:r>
    </w:p>
    <w:p w:rsidRPr="001679BB" w:rsidR="009A5DC6" w:rsidP="009A5DC6" w:rsidRDefault="009A5DC6" w14:paraId="317877DE" w14:textId="7F0BE6E4">
      <w:pPr>
        <w:spacing w:line="480" w:lineRule="auto"/>
        <w:ind w:firstLine="720"/>
      </w:pPr>
      <w:r w:rsidRPr="001679BB">
        <w:t xml:space="preserve">Additionally, bifurcating leadership and technical tracks has long been a discussion point in military manpower management, and this proposal is designed to give personnel an opportunity to advance either leveraging primarily leadership or technical expertise respectively. The proposal to combine the Enlisted and Officer corps is based on a blend of experience and education as is the lateral entry onboarding (Appendix </w:t>
      </w:r>
      <w:r w:rsidR="00F278ED">
        <w:t>C</w:t>
      </w:r>
      <w:r w:rsidRPr="001679BB">
        <w:t>).</w:t>
      </w:r>
    </w:p>
    <w:p w:rsidRPr="001679BB" w:rsidR="009A5DC6" w:rsidP="009A5DC6" w:rsidRDefault="009A5DC6" w14:paraId="759B3C6A" w14:textId="3317F635">
      <w:pPr>
        <w:spacing w:line="480" w:lineRule="auto"/>
        <w:ind w:firstLine="720"/>
      </w:pPr>
      <w:r w:rsidRPr="001679BB">
        <w:t xml:space="preserve">With the Space Force military personnel comprising </w:t>
      </w:r>
      <w:r w:rsidR="00AB6664">
        <w:t>fewer</w:t>
      </w:r>
      <w:r w:rsidRPr="001679BB">
        <w:t xml:space="preserve"> members than some individual Air Force bases, boutique talent management is possible. However, the question remains, is it advisable? What benefits would the reorganization and rank structures respectively yield, what difficulties would the proposals impose, and what would the cost be from both a dollar and personnel figure? The methodologies I will use to answer are an analysis of how the proposals mesh with the interconnected laws, Department of War regulations and Department level instructions, existing personnel system standards and requirements, Space Force organizational structure and manpower alignment, Space Force doctrine, </w:t>
      </w:r>
      <w:r w:rsidR="00B500F2">
        <w:t xml:space="preserve">and </w:t>
      </w:r>
      <w:r w:rsidRPr="001679BB">
        <w:t xml:space="preserve">comparisons across over service branches. This </w:t>
      </w:r>
      <w:r w:rsidR="00B500F2">
        <w:t>will</w:t>
      </w:r>
      <w:r w:rsidRPr="001679BB">
        <w:t xml:space="preserve"> also include a review of applicable law that </w:t>
      </w:r>
      <w:r w:rsidRPr="001679BB" w:rsidR="00980CDB">
        <w:t>needs</w:t>
      </w:r>
      <w:r w:rsidRPr="001679BB">
        <w:t xml:space="preserve"> to be amended, how lateral entry works for the service currentl</w:t>
      </w:r>
      <w:r w:rsidR="00B500F2">
        <w:t>y and personnel system acquisition costs. These proposals could each be dedicated research projects on their own, so this serves as an initial viability and advisability recommendation. Further development will be required to implement.</w:t>
      </w:r>
    </w:p>
    <w:p w:rsidR="009A5DC6" w:rsidP="00F278ED" w:rsidRDefault="009A5DC6" w14:paraId="5F699442" w14:textId="30CA4599">
      <w:pPr>
        <w:pStyle w:val="Heading1"/>
        <w:rPr>
          <w:rFonts w:ascii="Times New Roman" w:hAnsi="Times New Roman"/>
          <w:sz w:val="24"/>
          <w:szCs w:val="24"/>
        </w:rPr>
      </w:pPr>
      <w:bookmarkStart w:name="_Toc224133523" w:id="18"/>
      <w:bookmarkStart w:name="_Toc224562621" w:id="19"/>
      <w:r w:rsidRPr="00F278ED">
        <w:rPr>
          <w:rFonts w:ascii="Times New Roman" w:hAnsi="Times New Roman"/>
          <w:sz w:val="24"/>
          <w:szCs w:val="24"/>
        </w:rPr>
        <w:t>Feasibility Analysis</w:t>
      </w:r>
      <w:bookmarkEnd w:id="18"/>
      <w:bookmarkEnd w:id="19"/>
    </w:p>
    <w:p w:rsidRPr="00F278ED" w:rsidR="00F278ED" w:rsidP="00F278ED" w:rsidRDefault="00F278ED" w14:paraId="5104FE53" w14:textId="77777777"/>
    <w:p w:rsidRPr="001679BB" w:rsidR="009A5DC6" w:rsidP="009A5DC6" w:rsidRDefault="009A5DC6" w14:paraId="70699B97" w14:textId="77777777">
      <w:pPr>
        <w:spacing w:line="480" w:lineRule="auto"/>
        <w:ind w:firstLine="720"/>
      </w:pPr>
      <w:r w:rsidRPr="001679BB">
        <w:t>The proposals are ambitious, and the feasibility of pursuing them is a critical part in determining the advisability of pursuing them. To best convey the feasibility obstacles, this paper will evaluate each proposal in terms of legality, institutional frictions to include existing organizational paradigms and technology, and operational or personnel feasibility to include workforce capacity, training, and talent management impacts.</w:t>
      </w:r>
    </w:p>
    <w:p w:rsidR="009A5DC6" w:rsidP="00F278ED" w:rsidRDefault="009A5DC6" w14:paraId="1E82D41D" w14:textId="77777777">
      <w:pPr>
        <w:pStyle w:val="Heading3"/>
        <w:jc w:val="center"/>
        <w:rPr>
          <w:rFonts w:ascii="Times New Roman" w:hAnsi="Times New Roman"/>
          <w:u w:val="single"/>
        </w:rPr>
      </w:pPr>
      <w:bookmarkStart w:name="_Toc224562622" w:id="20"/>
      <w:r w:rsidRPr="00F278ED">
        <w:rPr>
          <w:rFonts w:ascii="Times New Roman" w:hAnsi="Times New Roman"/>
          <w:u w:val="single"/>
        </w:rPr>
        <w:t>Mission Area Alignment Model</w:t>
      </w:r>
      <w:bookmarkEnd w:id="20"/>
    </w:p>
    <w:p w:rsidRPr="00F278ED" w:rsidR="00F278ED" w:rsidP="00F278ED" w:rsidRDefault="00F278ED" w14:paraId="5612B50A" w14:textId="77777777"/>
    <w:p w:rsidRPr="001679BB" w:rsidR="009A5DC6" w:rsidP="009A5DC6" w:rsidRDefault="009A5DC6" w14:paraId="1C101183" w14:textId="1ABF3521">
      <w:pPr>
        <w:spacing w:line="480" w:lineRule="auto"/>
        <w:ind w:firstLine="720"/>
      </w:pPr>
      <w:r w:rsidRPr="001679BB">
        <w:t xml:space="preserve">Appendix </w:t>
      </w:r>
      <w:r w:rsidR="00F278ED">
        <w:t>B</w:t>
      </w:r>
      <w:r w:rsidRPr="001679BB">
        <w:t xml:space="preserve"> shows the Space Force’s current organizational structure. Appendix </w:t>
      </w:r>
      <w:r w:rsidR="00F278ED">
        <w:t>C</w:t>
      </w:r>
      <w:r w:rsidRPr="001679BB">
        <w:t xml:space="preserve"> shows the proposed structure of the Mission Area Alignment Model. Referring to the visuals will assist in the analysis below.</w:t>
      </w:r>
    </w:p>
    <w:p w:rsidRPr="001679BB" w:rsidR="009A5DC6" w:rsidP="009A5DC6" w:rsidRDefault="009A5DC6" w14:paraId="2F7C922D" w14:textId="00C0360A">
      <w:pPr>
        <w:spacing w:line="480" w:lineRule="auto"/>
        <w:ind w:firstLine="720"/>
      </w:pPr>
      <w:r w:rsidRPr="001679BB">
        <w:t xml:space="preserve">To align the FIELDCOMs into specific mission areas would require significant manpower realignment. Each organization would need its own lifecycle acquisition functions, mission operators, and requisite support infrastructure such as cyber defense and relevant intelligence operations. Regardless of potential benefit, this would dismantle Space Systems Command. Space Systems Command currently counts for </w:t>
      </w:r>
      <w:r w:rsidRPr="001679BB" w:rsidR="00B500F2">
        <w:t>most</w:t>
      </w:r>
      <w:r w:rsidRPr="001679BB">
        <w:t xml:space="preserve"> acquisition billets in the Space Force and is largely centered at Los Angeles Air Force Base (LA AFB). To integrate fully by functional area, those members would need to be relocated to the bases performing their operational functions</w:t>
      </w:r>
      <w:r w:rsidR="00E77884">
        <w:t>,</w:t>
      </w:r>
      <w:r w:rsidRPr="001679BB">
        <w:t xml:space="preserve"> or those operational functions would need to be moved to LA AFB</w:t>
      </w:r>
      <w:r w:rsidR="00E77884">
        <w:t>, which would defeat the intent of the program</w:t>
      </w:r>
      <w:r w:rsidRPr="001679BB">
        <w:t>.</w:t>
      </w:r>
    </w:p>
    <w:p w:rsidRPr="001679BB" w:rsidR="009A5DC6" w:rsidP="009A5DC6" w:rsidRDefault="009A5DC6" w14:paraId="59009C0B" w14:textId="09DA1D78">
      <w:pPr>
        <w:spacing w:line="480" w:lineRule="auto"/>
        <w:ind w:firstLine="720"/>
      </w:pPr>
      <w:r w:rsidRPr="001679BB">
        <w:t>The most extreme second order effect of this is it would</w:t>
      </w:r>
      <w:r w:rsidR="00E77884">
        <w:t xml:space="preserve"> likely</w:t>
      </w:r>
      <w:r w:rsidRPr="001679BB">
        <w:t xml:space="preserve"> require Base Realignment and Closure, commonly known as BRAC, for Los Angeles Air Force Base. This would happen if the Space Force elected to move the acquirers to the operational bases. Removing the acquisition billets</w:t>
      </w:r>
      <w:r w:rsidR="00E77884">
        <w:t>,</w:t>
      </w:r>
      <w:r w:rsidRPr="001679BB">
        <w:t xml:space="preserve"> and the support for those billets</w:t>
      </w:r>
      <w:r w:rsidR="00E77884">
        <w:t>,</w:t>
      </w:r>
      <w:r w:rsidRPr="001679BB">
        <w:t xml:space="preserve"> would account for the primary mission of the base and the </w:t>
      </w:r>
      <w:r w:rsidRPr="001679BB">
        <w:t xml:space="preserve">majority of its </w:t>
      </w:r>
      <w:r w:rsidR="00E77884">
        <w:t>authorizations</w:t>
      </w:r>
      <w:r w:rsidRPr="001679BB">
        <w:t xml:space="preserve">, making it impractical to maintain the base. While the Space </w:t>
      </w:r>
      <w:r w:rsidR="008145F8">
        <w:t>F</w:t>
      </w:r>
      <w:r w:rsidRPr="001679BB">
        <w:t xml:space="preserve">orce could hypothetically hotel the organizationally dispersed members, that would make the direct integration significantly harder and reduce the benefit trying to be achieved. Base closures are not impossible but are difficult, and there have been no authorized closures since 2005 due to the jobs and economic impact bases have in their area (Tilghman, 2025). </w:t>
      </w:r>
    </w:p>
    <w:p w:rsidRPr="001679BB" w:rsidR="009A5DC6" w:rsidP="009A5DC6" w:rsidRDefault="009A5DC6" w14:paraId="076F27B8" w14:textId="75D505E2">
      <w:pPr>
        <w:spacing w:line="480" w:lineRule="auto"/>
        <w:ind w:firstLine="720"/>
      </w:pPr>
      <w:r w:rsidRPr="001679BB">
        <w:t>There is no proposal for the next round of BRAC and Congress has shown no interest in starting one. The last request for BRAC from the Department of War was in 2017 and Congress declined to authorize the authority at that point (Tilghman, 2025).</w:t>
      </w:r>
    </w:p>
    <w:p w:rsidRPr="001679BB" w:rsidR="009A5DC6" w:rsidP="009A5DC6" w:rsidRDefault="009A5DC6" w14:paraId="4E536987" w14:textId="6B68C7D3">
      <w:pPr>
        <w:spacing w:line="480" w:lineRule="auto"/>
        <w:ind w:firstLine="720"/>
      </w:pPr>
      <w:r w:rsidRPr="001679BB">
        <w:t>If instead, operations were moved to LA AFB, so the Deltas were established there, BRAC would not be a factor</w:t>
      </w:r>
      <w:r w:rsidR="008145F8">
        <w:t>,</w:t>
      </w:r>
      <w:r w:rsidRPr="001679BB">
        <w:t xml:space="preserve"> but congress would still be involved. DAFI 10-503 requires strategic basing actions for any units changing bases encompassing more than 35 personnel. These are less onerous than BRAC but still require congressional approval in accordance with 10 U.S. Code § 2392. The service would also need to request out of cycle funding for sending these members to new duty stations, which costs an average of 12,500 dollars a move and the military construction projects to build the infrastructure at the bases they would be relocating to (Lopez, 2025). Military construction projects take an average of at least five years (Tilghman, 2024). This would also be congressionally unpopular as it would lea</w:t>
      </w:r>
      <w:r w:rsidR="008145F8">
        <w:t>d</w:t>
      </w:r>
      <w:r w:rsidRPr="001679BB">
        <w:t xml:space="preserve"> to jobs moving out of congressional members’ districts. </w:t>
      </w:r>
    </w:p>
    <w:p w:rsidRPr="001679BB" w:rsidR="009A5DC6" w:rsidP="009A5DC6" w:rsidRDefault="009A5DC6" w14:paraId="710435E8" w14:textId="3DF503AE">
      <w:pPr>
        <w:spacing w:line="480" w:lineRule="auto"/>
        <w:ind w:firstLine="720"/>
      </w:pPr>
      <w:r w:rsidRPr="001679BB">
        <w:t>A potential pitfall for this organizational structure would be the difficulty in ensuring the development of well-rounded leaders to run the Space Force itself and bring Space capabilities to bear in the joint environment. At least a subset of Guardians would need to rotate through the different mission areas to develop the enterprise perspective requisite to senior service roles.</w:t>
      </w:r>
      <w:r w:rsidR="00E77884">
        <w:t xml:space="preserve"> </w:t>
      </w:r>
    </w:p>
    <w:p w:rsidRPr="001679BB" w:rsidR="009A5DC6" w:rsidP="009A5DC6" w:rsidRDefault="009A5DC6" w14:paraId="49950BA1" w14:textId="77777777">
      <w:pPr>
        <w:spacing w:line="480" w:lineRule="auto"/>
        <w:ind w:firstLine="720"/>
      </w:pPr>
      <w:r w:rsidRPr="001679BB">
        <w:t xml:space="preserve">This structure would also require a decision on oversight and the ranks required. The Space Force earns it billets from manpower positions and existing manpower documents. Overhauling </w:t>
      </w:r>
      <w:r w:rsidRPr="001679BB">
        <w:t xml:space="preserve">the structure would require new manpower studies. Currently the Space Force has 24 general officer positions as part of the 2026 NDAA. This proposal has nine mission areas, and the Space Force currently has four Field Commands. Either some of these would need a colonel or senior civilian to run them, or the Space Force would need to consolidate general officer positions from other areas. The Department of War is currently working to trim the number of generals, so trying to expand to have a general at each would not be feasible (Copp, 2025).  Additionally, each of these mission areas would likely need their own staffs, and with that is another manpower tail which further limits the feasibility with confined end strength. </w:t>
      </w:r>
    </w:p>
    <w:p w:rsidRPr="001679BB" w:rsidR="009A5DC6" w:rsidP="009A5DC6" w:rsidRDefault="009A5DC6" w14:paraId="75EBED30" w14:textId="77777777">
      <w:pPr>
        <w:spacing w:line="480" w:lineRule="auto"/>
        <w:ind w:firstLine="720"/>
      </w:pPr>
      <w:r w:rsidRPr="001679BB">
        <w:t xml:space="preserve">This is the least directly feasible proposal due to the high cost, long timelines, and significant congressional action required. However, the Space Force has been moving to Mission Deltas which accomplish much of the function this proposal is advocating for without as many hurdles. </w:t>
      </w:r>
    </w:p>
    <w:p w:rsidR="009A5DC6" w:rsidP="00F278ED" w:rsidRDefault="009A5DC6" w14:paraId="76F73223" w14:textId="77777777">
      <w:pPr>
        <w:pStyle w:val="Heading3"/>
        <w:jc w:val="center"/>
        <w:rPr>
          <w:rFonts w:ascii="Times New Roman" w:hAnsi="Times New Roman"/>
          <w:u w:val="single"/>
        </w:rPr>
      </w:pPr>
      <w:bookmarkStart w:name="_Toc224562623" w:id="21"/>
      <w:r w:rsidRPr="00F278ED">
        <w:rPr>
          <w:rFonts w:ascii="Times New Roman" w:hAnsi="Times New Roman"/>
          <w:u w:val="single"/>
        </w:rPr>
        <w:t>Unified Rank Structure</w:t>
      </w:r>
      <w:bookmarkEnd w:id="21"/>
    </w:p>
    <w:p w:rsidRPr="00F278ED" w:rsidR="00F278ED" w:rsidP="00F278ED" w:rsidRDefault="00F278ED" w14:paraId="5C2E01FD" w14:textId="77777777"/>
    <w:p w:rsidRPr="001679BB" w:rsidR="009A5DC6" w:rsidP="009A5DC6" w:rsidRDefault="009A5DC6" w14:paraId="044B518B" w14:textId="77777777">
      <w:pPr>
        <w:spacing w:line="480" w:lineRule="auto"/>
        <w:ind w:firstLine="720"/>
      </w:pPr>
      <w:r w:rsidRPr="001679BB">
        <w:t xml:space="preserve">The unified rank structure proposal’s limiting factors on feasibility include legal, personnel infrastructure and fiscal hurdles.  It would also face friction from the force. </w:t>
      </w:r>
    </w:p>
    <w:p w:rsidRPr="001679BB" w:rsidR="009A5DC6" w:rsidP="009A5DC6" w:rsidRDefault="009A5DC6" w14:paraId="5883F977" w14:textId="24069868">
      <w:pPr>
        <w:spacing w:line="480" w:lineRule="auto"/>
        <w:ind w:firstLine="720"/>
      </w:pPr>
      <w:r w:rsidRPr="001679BB">
        <w:t xml:space="preserve">The 2026 NDAA approved a total of 10,400 uniformed guardians with 4,843 officers and 5,557 enlisted. Changing any number of enlisted Guardians to officers would require adjustments to future NDAAs. It would also require the commissioning </w:t>
      </w:r>
      <w:r w:rsidR="00AB6664">
        <w:t xml:space="preserve">of </w:t>
      </w:r>
      <w:r w:rsidRPr="001679BB">
        <w:t>all the enlisted</w:t>
      </w:r>
      <w:r w:rsidR="00AB6664">
        <w:t xml:space="preserve"> personnel</w:t>
      </w:r>
      <w:r w:rsidRPr="001679BB">
        <w:t xml:space="preserve"> who meet the “Officer” grade criteria in appendix three. These criteria include a four-year degree, two-year degree with six years of experience, or simply eight years of experience. </w:t>
      </w:r>
      <w:r w:rsidR="00F1496B">
        <w:t xml:space="preserve">As of Fiscal Year 2024, approximately 43 percent of enlisted Guardians had at least an </w:t>
      </w:r>
      <w:r w:rsidR="00980CDB">
        <w:t>associate’s</w:t>
      </w:r>
      <w:r w:rsidR="00F1496B">
        <w:t xml:space="preserve"> degree and 81 percent had at least some college (Air &amp; Space Forces, 2024). </w:t>
      </w:r>
      <w:r w:rsidRPr="001679BB">
        <w:t xml:space="preserve">This could easily account for more than half </w:t>
      </w:r>
      <w:r w:rsidRPr="001679BB">
        <w:t xml:space="preserve">of the </w:t>
      </w:r>
      <w:r w:rsidRPr="001679BB" w:rsidR="008145F8">
        <w:t>personnel enlisted</w:t>
      </w:r>
      <w:r w:rsidRPr="001679BB">
        <w:t xml:space="preserve"> today and would heavily incentivize degree procurement and account for a higher percentage</w:t>
      </w:r>
      <w:r w:rsidR="00F1496B">
        <w:t>.</w:t>
      </w:r>
    </w:p>
    <w:p w:rsidRPr="001679BB" w:rsidR="009A5DC6" w:rsidP="009A5DC6" w:rsidRDefault="009A5DC6" w14:paraId="5A063E5E" w14:textId="217EF628">
      <w:pPr>
        <w:spacing w:line="480" w:lineRule="auto"/>
        <w:ind w:firstLine="720"/>
      </w:pPr>
      <w:r w:rsidRPr="001679BB">
        <w:t>This would lead to the next legal changes that would need to be made</w:t>
      </w:r>
      <w:r w:rsidR="00AB6664">
        <w:t>:</w:t>
      </w:r>
      <w:r w:rsidRPr="001679BB">
        <w:t xml:space="preserve"> carveouts in 10 U.S. Code § 523 and the Defense Officer Personnel Management Act (DOPMA). 10 U.S. Code § 523 is what sets the limits on number of officers per grade based on population. The proposed education and experienced base criteria would not align with the limits the law imposes. Congress would need to amend the laws to create an exception for the Space Force to do this.  Finally, there would need to be changes to 10 U.S. Code § 619–628 - Active Duty Officer Promotions for the Space Force to codify its own process. This would make the service pivot from promotion zones, selection boards and competitive procedure in favor of experience years and education level. </w:t>
      </w:r>
    </w:p>
    <w:p w:rsidRPr="001679BB" w:rsidR="009A5DC6" w:rsidP="009A5DC6" w:rsidRDefault="009A5DC6" w14:paraId="3C938AD1" w14:textId="0BC36686">
      <w:pPr>
        <w:spacing w:line="480" w:lineRule="auto"/>
        <w:ind w:firstLine="720"/>
      </w:pPr>
      <w:r w:rsidRPr="001679BB">
        <w:t xml:space="preserve">While the service would need to champion multiple changes to Title 10, it would then run into significant difficulties once those laws are changed. The Space Force does not have its own organic military human resources capability and relies fully on existing Air Force systems. Like all base support career fields, Civil Engineering, Security Forces, Logistics Readiness, and Force Support, the Air Force’s Human Resources and Administration career field provides the system management at base level. The Enterprise Talent Management Office is a Space Force owned talent management </w:t>
      </w:r>
      <w:r w:rsidRPr="001679BB" w:rsidR="00980CDB">
        <w:t>headquarters,</w:t>
      </w:r>
      <w:r w:rsidRPr="001679BB">
        <w:t xml:space="preserve"> but it also still relies largely on Air Force systems. That paradigm works because both the Space Force and Air Force operate on the same technology systems, evaluation systems (the Space Force uses a legacy Air Force system these professionals are still proficient on), assignment system, etc. However, if the service were to totally deviate</w:t>
      </w:r>
      <w:r w:rsidR="00AB6664">
        <w:t xml:space="preserve"> from the Air Force systems</w:t>
      </w:r>
      <w:r w:rsidRPr="001679BB">
        <w:t xml:space="preserve">, there would not be a corps of trained professionals there to manage these programs. </w:t>
      </w:r>
    </w:p>
    <w:p w:rsidRPr="001679BB" w:rsidR="009A5DC6" w:rsidP="009A5DC6" w:rsidRDefault="009A5DC6" w14:paraId="034158A2" w14:textId="77777777">
      <w:pPr>
        <w:spacing w:line="480" w:lineRule="auto"/>
        <w:ind w:firstLine="720"/>
      </w:pPr>
      <w:r w:rsidRPr="001679BB">
        <w:t xml:space="preserve">Creating a new rank structure means creating new evaluation systems, new promotion management, and position validations. The same manpower limiting factor that applies to the </w:t>
      </w:r>
      <w:r w:rsidRPr="001679BB">
        <w:t xml:space="preserve">mission area realignment applies to the combined rank structure. Each billet in the Space Force has an attached rank, so beyond converting Specialist-3’s into a First Lieutenant, do those positions then become a First Lieutenant position? The entirety of the Space Force’s Unit Manpower Documents would need to be changed in a comprehensive analysis style which would require significant investment and likely Air Force augmentation. </w:t>
      </w:r>
    </w:p>
    <w:p w:rsidRPr="001679BB" w:rsidR="009A5DC6" w:rsidP="009A5DC6" w:rsidRDefault="009A5DC6" w14:paraId="7CF1F71F" w14:textId="2B7F5B4D">
      <w:pPr>
        <w:spacing w:line="480" w:lineRule="auto"/>
        <w:ind w:firstLine="720"/>
      </w:pPr>
      <w:r w:rsidRPr="001679BB">
        <w:t xml:space="preserve">Beyond that, the unified rank structure does not fit in any current warfighter requirements. Readiness reporting for Space Force units would need to be overhauled and </w:t>
      </w:r>
      <w:r w:rsidR="00407081">
        <w:t>joint</w:t>
      </w:r>
      <w:r w:rsidRPr="001679BB" w:rsidR="00407081">
        <w:t xml:space="preserve"> </w:t>
      </w:r>
      <w:r w:rsidRPr="001679BB">
        <w:t>billets would need to be re-categorized. Space Command, Northern Command, or Central Command, etc. would need to agree that what the Space Force would newly define as a Lieutenant Colonel would fit what those combatant commands need from a Space Force Lieutenant Colonel.</w:t>
      </w:r>
    </w:p>
    <w:p w:rsidRPr="001679BB" w:rsidR="009A5DC6" w:rsidP="009A5DC6" w:rsidRDefault="009A5DC6" w14:paraId="69A249E9" w14:textId="77777777">
      <w:pPr>
        <w:spacing w:line="480" w:lineRule="auto"/>
        <w:ind w:firstLine="720"/>
      </w:pPr>
      <w:r w:rsidRPr="001679BB">
        <w:t>Other cultural issues would include the need for largely abandoning the enlisted corps and those career fields, parsing of education (are all degrees and collegiate programs weighted equally), parsing of experience (does experience just count in time or does a quality scale get implemented), and overhauling training pipelines for both functional and military education.</w:t>
      </w:r>
    </w:p>
    <w:p w:rsidR="00E77884" w:rsidP="009A5DC6" w:rsidRDefault="009A5DC6" w14:paraId="6D661EA2" w14:textId="77777777">
      <w:pPr>
        <w:spacing w:line="480" w:lineRule="auto"/>
        <w:ind w:firstLine="720"/>
      </w:pPr>
      <w:r w:rsidRPr="001679BB">
        <w:t xml:space="preserve">From a compensation perspective, the costs would be substantial as well. Assuming a transfer of 3,000 enlisted members to officer, the </w:t>
      </w:r>
      <w:r w:rsidRPr="001679BB" w:rsidR="00BB15C7">
        <w:t>salary</w:t>
      </w:r>
      <w:r w:rsidR="00E77884">
        <w:t xml:space="preserve"> cost</w:t>
      </w:r>
      <w:r w:rsidRPr="001679BB">
        <w:t xml:space="preserve"> alone would</w:t>
      </w:r>
      <w:r w:rsidR="00AB6664">
        <w:t xml:space="preserve"> </w:t>
      </w:r>
      <w:r w:rsidR="00E77884">
        <w:t>increase</w:t>
      </w:r>
      <w:r w:rsidRPr="001679BB">
        <w:t xml:space="preserve"> approximately 150 million </w:t>
      </w:r>
      <w:r w:rsidR="00E77884">
        <w:t xml:space="preserve">dollars </w:t>
      </w:r>
      <w:r w:rsidRPr="001679BB">
        <w:t xml:space="preserve">annually and would </w:t>
      </w:r>
      <w:r w:rsidR="00E77884">
        <w:t xml:space="preserve">consequently </w:t>
      </w:r>
      <w:r w:rsidRPr="001679BB">
        <w:t xml:space="preserve">increase the pension cost across the force. Beyond the direct personnel cost, there would be the cost to create a Space Force specific HR infrastructure from both a system cost and personnel supporting that cost. </w:t>
      </w:r>
      <w:r w:rsidR="00E77884">
        <w:t>This is likely a cost the Space Force will need to incur regardless, but it worth mentioning the difficulty and cost of new talent management systems.</w:t>
      </w:r>
    </w:p>
    <w:p w:rsidRPr="001679BB" w:rsidR="009A5DC6" w:rsidP="001A6087" w:rsidRDefault="00E77884" w14:paraId="11FA64E9" w14:textId="6E695BE5">
      <w:pPr>
        <w:spacing w:line="480" w:lineRule="auto"/>
        <w:ind w:firstLine="720"/>
      </w:pPr>
      <w:r>
        <w:t>The Department of War has historically struggled in talent management system creation in timelines and in cost. A recently successful launch, t</w:t>
      </w:r>
      <w:r w:rsidRPr="001679BB" w:rsidR="009A5DC6">
        <w:t xml:space="preserve">he Army’s new Integrated Personnel and Pay </w:t>
      </w:r>
      <w:r w:rsidRPr="001679BB" w:rsidR="009A5DC6">
        <w:t xml:space="preserve">System cost over $600 million and a decade just to develop rolling out in 2023 (Beynon, 2023). </w:t>
      </w:r>
      <w:r>
        <w:t>Less successful endeavors include the Department of the Air Force’s foray into a similar system, the Air Force Integrated Pay and Personnel System</w:t>
      </w:r>
      <w:r w:rsidR="001A6087">
        <w:t xml:space="preserve"> (AFIPPS)</w:t>
      </w:r>
      <w:r>
        <w:t xml:space="preserve">, which was </w:t>
      </w:r>
      <w:r w:rsidR="001A6087">
        <w:t xml:space="preserve">designed to replace the DAF’s talent management and payment systems and has cost 179.51 million dollars to date and </w:t>
      </w:r>
      <w:r w:rsidR="001A6087">
        <w:t xml:space="preserve">Officials reported an associated cost increase </w:t>
      </w:r>
      <w:r w:rsidR="00F00115">
        <w:t>to</w:t>
      </w:r>
      <w:r w:rsidR="001A6087">
        <w:t xml:space="preserve"> $682</w:t>
      </w:r>
      <w:r w:rsidR="001A6087">
        <w:t xml:space="preserve"> </w:t>
      </w:r>
      <w:r w:rsidR="001A6087">
        <w:t>million</w:t>
      </w:r>
      <w:r w:rsidR="001A6087">
        <w:t xml:space="preserve"> to address current issues (GAO). The AFIPPS program started in 2009 and was</w:t>
      </w:r>
      <w:r>
        <w:t xml:space="preserve"> set to </w:t>
      </w:r>
      <w:r w:rsidR="001A6087">
        <w:t xml:space="preserve">go live in 2022 after field testing and was delayed over the course of two additional years before needing a rebaseline and a schedule delay of at least 12 more months as of October 2025 (GAO). </w:t>
      </w:r>
      <w:r w:rsidR="00CF28E2">
        <w:t>m</w:t>
      </w:r>
      <w:r w:rsidR="001A6087">
        <w:t xml:space="preserve">yEval, a smaller system designed just to generate and route annual evaluations, utilized a high performing team of uniformed professionals working in concert with Salesforce, an industry leading service provider. The team used a waterfall process with sprints (Waterfall-Scrum-Fall model) rapidly iterating feedback from test locations and the field, and it was a colossal failure that also had to be shelved. That is not to say the Space Force should not pursue talent management systems. The examples are to illuminate how costly and difficulty they can be when establishing financial and manpower bandwidth for other initiatives. </w:t>
      </w:r>
    </w:p>
    <w:p w:rsidRPr="001679BB" w:rsidR="009A5DC6" w:rsidP="009A5DC6" w:rsidRDefault="009A5DC6" w14:paraId="4DFDFC63" w14:textId="77777777">
      <w:pPr>
        <w:spacing w:line="480" w:lineRule="auto"/>
        <w:ind w:firstLine="720"/>
      </w:pPr>
      <w:r w:rsidRPr="001679BB">
        <w:t>Finally, there is also no appetite for this from a service perspective. The Space Force released an update to its doctrine in April 2025 and spelled out the unique role of both the enlisted and officer corps. The doctrine identifies officers as the “leaders and planners” and enlisted as the “Service’s warfighters” with civilians bringing the specialization, stability and continuity (USSF, 2025).</w:t>
      </w:r>
    </w:p>
    <w:p w:rsidR="00F278ED" w:rsidP="00F278ED" w:rsidRDefault="009A5DC6" w14:paraId="27003B66" w14:textId="57D26644">
      <w:pPr>
        <w:spacing w:line="480" w:lineRule="auto"/>
        <w:ind w:firstLine="720"/>
      </w:pPr>
      <w:r w:rsidRPr="001679BB">
        <w:t>This is the second least directly feasible proposal due to the same high cost, long timelines, and significant congressional action required as well as a disconnect from the joint operations paradigm and the service’s construct and desires.</w:t>
      </w:r>
    </w:p>
    <w:p w:rsidR="00117734" w:rsidP="00117734" w:rsidRDefault="00117734" w14:paraId="5633CC40" w14:textId="2A39DE3D">
      <w:pPr>
        <w:pStyle w:val="Heading3"/>
        <w:jc w:val="center"/>
        <w:rPr>
          <w:rFonts w:ascii="Times New Roman" w:hAnsi="Times New Roman"/>
          <w:u w:val="single"/>
        </w:rPr>
      </w:pPr>
      <w:r>
        <w:rPr>
          <w:rFonts w:ascii="Times New Roman" w:hAnsi="Times New Roman"/>
          <w:u w:val="single"/>
        </w:rPr>
        <w:t>Lateral Entry</w:t>
      </w:r>
    </w:p>
    <w:p w:rsidRPr="00117734" w:rsidR="00117734" w:rsidP="00117734" w:rsidRDefault="00117734" w14:paraId="37588E14" w14:textId="77777777">
      <w:bookmarkStart w:name="_Hlk226108463" w:id="22"/>
    </w:p>
    <w:p w:rsidRPr="001679BB" w:rsidR="009A5DC6" w:rsidP="009A5DC6" w:rsidRDefault="009A5DC6" w14:paraId="08AF19FD" w14:textId="77777777">
      <w:pPr>
        <w:spacing w:line="480" w:lineRule="auto"/>
        <w:ind w:firstLine="720"/>
      </w:pPr>
      <w:r w:rsidRPr="001679BB">
        <w:t>The Space Force is already utilizing a Direct Commission Program, leveraging lateral entry processes for onboarding mid-career professionals. The service is also working on a part-time Guardian status to allow private sector permeability (Casciotta, 2025). The barriers to entry for this have already been crossed and it is a program prime for expansion.</w:t>
      </w:r>
    </w:p>
    <w:p w:rsidRPr="001679BB" w:rsidR="009A5DC6" w:rsidP="009A5DC6" w:rsidRDefault="009A5DC6" w14:paraId="4084B48F" w14:textId="31C97B94">
      <w:pPr>
        <w:spacing w:line="480" w:lineRule="auto"/>
        <w:ind w:firstLine="720"/>
      </w:pPr>
      <w:r w:rsidRPr="001679BB">
        <w:t xml:space="preserve">10 U.S. Code § 533 allows and sets the framework for direct commissioning operations with cyber professional specific language in 10 U.S. Code § 533. Since 2022, the Space Force has had a Direct Commission Program for Cyber professionals and </w:t>
      </w:r>
      <w:r w:rsidRPr="001679BB" w:rsidR="00980CDB">
        <w:t>has</w:t>
      </w:r>
      <w:r w:rsidRPr="001679BB">
        <w:t xml:space="preserve"> since expanded it to the Intelligence, Surveillance, and Reconnaissance (ISR) career field. Expanding this to cover specific Space and Acquisition skillsets</w:t>
      </w:r>
      <w:r w:rsidR="00F00115">
        <w:t xml:space="preserve"> </w:t>
      </w:r>
      <w:r w:rsidRPr="001679BB">
        <w:t xml:space="preserve">is feasible as well. </w:t>
      </w:r>
    </w:p>
    <w:p w:rsidRPr="001679BB" w:rsidR="009A5DC6" w:rsidP="009A5DC6" w:rsidRDefault="009A5DC6" w14:paraId="3E0FADE3" w14:textId="77777777">
      <w:pPr>
        <w:spacing w:line="480" w:lineRule="auto"/>
        <w:ind w:firstLine="720"/>
      </w:pPr>
      <w:r w:rsidRPr="001679BB">
        <w:t xml:space="preserve">The Acquisition profession does have significant regulatory oversight, but recent Department of War efforts to improve the acquisition program have made this possible. As of 2024, the Army commissioned a private sector civilian with 20 years of experience as a Major in the Army Acquisition Corps (Kestner, 2025). Replicating the Army’s program may simply require an update of Department of the Air Force specific regulations, specifically DAFMAN 36-2032, but there would be no new Department of War policy or Title 10 changes required. </w:t>
      </w:r>
    </w:p>
    <w:p w:rsidRPr="001679BB" w:rsidR="009A5DC6" w:rsidP="009A5DC6" w:rsidRDefault="009A5DC6" w14:paraId="7A8EB26E" w14:textId="4DEE1AF3">
      <w:pPr>
        <w:spacing w:line="480" w:lineRule="auto"/>
        <w:ind w:firstLine="720"/>
      </w:pPr>
      <w:r w:rsidRPr="001679BB">
        <w:t xml:space="preserve">Space Operations specialties needed would likely be tailored due to fewer direct private sector corollaries and long certification timelines in some areas. There is also a cultural question of direct commissioning operational career fields. That has not been a path the Department of War has often tread, but the Space Force has shown this works for cyber professionals. Additionally, the private sector is developing expertise in areas like satellite constellation management, satellite maneuverability, autonomous actions, machine learning, etc. that could all be surge needs for the Space Force. With how technical Space Operations is, there would need to be some boutique talent </w:t>
      </w:r>
      <w:r w:rsidRPr="001679BB">
        <w:t xml:space="preserve">management, as the civilian brought in as a Major because of their work on Amazon’s Project Kuiper may not be the right person to put in Range Operations Management at a Space Launch Delta.  </w:t>
      </w:r>
    </w:p>
    <w:p w:rsidRPr="001679BB" w:rsidR="009A5DC6" w:rsidP="009A5DC6" w:rsidRDefault="009A5DC6" w14:paraId="4F60256A" w14:textId="77777777">
      <w:pPr>
        <w:spacing w:line="480" w:lineRule="auto"/>
        <w:ind w:firstLine="720"/>
      </w:pPr>
      <w:r w:rsidRPr="001679BB">
        <w:t>This is the most feasible proposal</w:t>
      </w:r>
      <w:r>
        <w:t>. Direct commissioning in the Space Force</w:t>
      </w:r>
      <w:r w:rsidRPr="001679BB">
        <w:t xml:space="preserve"> is already under way and primed for expansion.</w:t>
      </w:r>
    </w:p>
    <w:p w:rsidR="009A5DC6" w:rsidP="00F278ED" w:rsidRDefault="009A5DC6" w14:paraId="36882C4C" w14:textId="372E065D">
      <w:pPr>
        <w:pStyle w:val="Heading3"/>
        <w:jc w:val="center"/>
        <w:rPr>
          <w:rFonts w:ascii="Times New Roman" w:hAnsi="Times New Roman"/>
          <w:u w:val="single"/>
        </w:rPr>
      </w:pPr>
      <w:bookmarkStart w:name="_Toc224562624" w:id="23"/>
      <w:bookmarkEnd w:id="22"/>
      <w:r w:rsidRPr="00F278ED">
        <w:rPr>
          <w:rFonts w:ascii="Times New Roman" w:hAnsi="Times New Roman"/>
          <w:u w:val="single"/>
        </w:rPr>
        <w:t>Separate Technical and Leadership Tracks</w:t>
      </w:r>
      <w:bookmarkEnd w:id="23"/>
    </w:p>
    <w:p w:rsidRPr="00F278ED" w:rsidR="00F278ED" w:rsidP="00F278ED" w:rsidRDefault="00F278ED" w14:paraId="34EA8AF0" w14:textId="77777777"/>
    <w:p w:rsidRPr="001679BB" w:rsidR="009A5DC6" w:rsidP="009A5DC6" w:rsidRDefault="009A5DC6" w14:paraId="211842D1" w14:textId="77777777">
      <w:pPr>
        <w:spacing w:line="480" w:lineRule="auto"/>
        <w:ind w:firstLine="720"/>
      </w:pPr>
      <w:bookmarkStart w:name="_Hlk226109614" w:id="24"/>
      <w:r w:rsidRPr="001679BB">
        <w:t xml:space="preserve">This program would run across the same promotion program issues previously described in the Unified Rank Structure proposal. To that end, the Space Force would need to champion changes in law and Department of War policy as well rewrite Department of the Air Force policy. </w:t>
      </w:r>
    </w:p>
    <w:p w:rsidRPr="001679BB" w:rsidR="009A5DC6" w:rsidP="009A5DC6" w:rsidRDefault="009A5DC6" w14:paraId="3AC81249" w14:textId="1D95ECBF">
      <w:pPr>
        <w:spacing w:line="480" w:lineRule="auto"/>
        <w:ind w:firstLine="720"/>
      </w:pPr>
      <w:r w:rsidRPr="001679BB">
        <w:t xml:space="preserve">There would additionally need to be a scrub of every position and annotate if that position is technical or leadership. In the current Space Force paradigm, every position is a mix of both to varying degrees, so parsing that would take time. In addition, it would create difficulties in talent availability, as the personnel available for each position would be restricted to those on the technical or leadership path, limiting flexibility. This is especially acute for joint, deployment or short tour requirements, both of which the Space Force fills, which do not delineate between leadership and technical specialty. Further segmenting a military force of approximately </w:t>
      </w:r>
      <w:r w:rsidR="003123CB">
        <w:t xml:space="preserve">10,400 </w:t>
      </w:r>
      <w:r w:rsidRPr="001679BB">
        <w:t>billets across the broad array of the Space Force covers creates risk. Many operational positions are 24/7 shift work, and as launch tempo continues to increase along with satellite density across orbits, those demands are going to increase. Segmenting those positions make</w:t>
      </w:r>
      <w:r w:rsidR="00AB6664">
        <w:t>s</w:t>
      </w:r>
      <w:r w:rsidRPr="001679BB">
        <w:t xml:space="preserve"> those shifts harder to fill.</w:t>
      </w:r>
    </w:p>
    <w:p w:rsidRPr="001679BB" w:rsidR="009A5DC6" w:rsidP="009A5DC6" w:rsidRDefault="009A5DC6" w14:paraId="28724380" w14:textId="77777777">
      <w:pPr>
        <w:spacing w:line="480" w:lineRule="auto"/>
        <w:ind w:firstLine="720"/>
      </w:pPr>
      <w:r w:rsidRPr="001679BB">
        <w:t xml:space="preserve">From a micro perspective, it also creates an expensive administrative tail from a per-capita perspective. The technical tracks would need their own promotion boards and processes which </w:t>
      </w:r>
      <w:r w:rsidRPr="001679BB">
        <w:t xml:space="preserve">would take time and money. The dual track would likely require a bifurcation of development programs as well. This would further levy financial and time investment as well as billets. </w:t>
      </w:r>
    </w:p>
    <w:p w:rsidR="009A5DC6" w:rsidP="009A5DC6" w:rsidRDefault="009A5DC6" w14:paraId="42945C31" w14:textId="41CF1146">
      <w:pPr>
        <w:spacing w:line="480" w:lineRule="auto"/>
        <w:ind w:firstLine="720"/>
      </w:pPr>
      <w:r w:rsidRPr="001679BB">
        <w:t>There may need to be carve-outs to DOPMA to allow for the progression if the tracks are going to be promoted at different rates. Either that, or the progression would have to be artificially aligned despite differing scopes and responsibility level. Furthermore, it would create a cultural divide between tech</w:t>
      </w:r>
      <w:r w:rsidR="00F00115">
        <w:t>nical</w:t>
      </w:r>
      <w:r w:rsidRPr="001679BB">
        <w:t xml:space="preserve"> </w:t>
      </w:r>
      <w:r w:rsidRPr="001679BB" w:rsidR="00980CDB">
        <w:t>experts</w:t>
      </w:r>
      <w:r w:rsidRPr="001679BB">
        <w:t xml:space="preserve"> and leader</w:t>
      </w:r>
      <w:r w:rsidR="00F00115">
        <w:t>s</w:t>
      </w:r>
      <w:r w:rsidRPr="001679BB">
        <w:t>, creating a division in a new force still building its identity that relies on interoperability. It also creates a cultural question about who makes the decisions. What decisions are in the technical realm and what are in the leadership? When leadership positions and technical positions are at odds, where is the decision authority vested?</w:t>
      </w:r>
      <w:r w:rsidR="008A5D0F">
        <w:t xml:space="preserve"> </w:t>
      </w:r>
    </w:p>
    <w:p w:rsidRPr="001679BB" w:rsidR="008A5D0F" w:rsidP="00C011DB" w:rsidRDefault="00F00115" w14:paraId="4AF3497C" w14:textId="525610A8">
      <w:pPr>
        <w:tabs>
          <w:tab w:val="num" w:pos="720"/>
        </w:tabs>
        <w:spacing w:line="480" w:lineRule="auto"/>
        <w:ind w:firstLine="720"/>
      </w:pPr>
      <w:r>
        <w:t>The National Aeronautics and Space Administration (NASA)</w:t>
      </w:r>
      <w:r w:rsidR="008A5D0F">
        <w:t xml:space="preserve"> has over two decades of experience with “Technical Authority” and is a similarly sized </w:t>
      </w:r>
      <w:r w:rsidR="00236D7A">
        <w:t>space agency</w:t>
      </w:r>
      <w:r w:rsidR="00C011DB">
        <w:t xml:space="preserve">. They utilize a Technical Authority program out of their Office of Chief Engineer that provides </w:t>
      </w:r>
      <w:r w:rsidRPr="00C011DB" w:rsidR="00C011DB">
        <w:t>an independent view of</w:t>
      </w:r>
      <w:r w:rsidR="00C011DB">
        <w:t xml:space="preserve"> programs, e</w:t>
      </w:r>
      <w:r w:rsidRPr="00C011DB" w:rsidR="00C011DB">
        <w:t>nsure</w:t>
      </w:r>
      <w:r w:rsidR="00C011DB">
        <w:t>s programs reflects the view of NASA</w:t>
      </w:r>
      <w:r w:rsidRPr="00C011DB" w:rsidR="00C011DB">
        <w:t xml:space="preserve">, </w:t>
      </w:r>
      <w:r w:rsidR="00C011DB">
        <w:t>and a</w:t>
      </w:r>
      <w:r w:rsidRPr="00C011DB" w:rsidR="00C011DB">
        <w:t>pprove change and waivers to all Technical Authority requirements</w:t>
      </w:r>
      <w:r w:rsidR="00C011DB">
        <w:t xml:space="preserve"> (NASA, 2026). The Program or Project Manager still retains responsibility for the outcomes, and the Technical Authority provides NASA a check and balance system. This is much like the Inspector General program and not a full career shred out. However, the Space Force may benefit from having a technical expert position on Inspector General teams operating in the same role. </w:t>
      </w:r>
    </w:p>
    <w:p w:rsidRPr="001679BB" w:rsidR="009A5DC6" w:rsidP="00C011DB" w:rsidRDefault="009A5DC6" w14:paraId="50A1A3B5" w14:textId="6190CAFA">
      <w:pPr>
        <w:spacing w:line="480" w:lineRule="auto"/>
        <w:ind w:firstLine="720"/>
      </w:pPr>
      <w:r w:rsidRPr="001679BB">
        <w:t xml:space="preserve">Finally, the proposition that it would increase retention is untested in military environments and could have the reverse effect. The technical track personnel would </w:t>
      </w:r>
      <w:r w:rsidRPr="001679BB" w:rsidR="00F278ED">
        <w:t>become</w:t>
      </w:r>
      <w:r w:rsidRPr="001679BB">
        <w:t xml:space="preserve"> much more desirable to higher paying private sector positions, and the leadership track may find themselves unable to accomplish strategic forecasting in the highly technical domain of space. The highest </w:t>
      </w:r>
      <w:r w:rsidRPr="001679BB">
        <w:t xml:space="preserve">levels of officer compensation will not keep pace with the salaries of senior engineers at companies like SpaceX, Raytheon, Blue Origin, etc. </w:t>
      </w:r>
    </w:p>
    <w:p w:rsidRPr="001679BB" w:rsidR="009A5DC6" w:rsidP="009A5DC6" w:rsidRDefault="009A5DC6" w14:paraId="641243C6" w14:textId="77777777">
      <w:pPr>
        <w:spacing w:line="480" w:lineRule="auto"/>
        <w:ind w:firstLine="720"/>
      </w:pPr>
      <w:r w:rsidRPr="001679BB">
        <w:t>The feasibility of this is not overly onerous. The discussion for these tracks is largely on the advisability of pursuing the proposal.</w:t>
      </w:r>
    </w:p>
    <w:p w:rsidR="009A5DC6" w:rsidP="00F278ED" w:rsidRDefault="009A5DC6" w14:paraId="2BBEE7C9" w14:textId="77777777">
      <w:pPr>
        <w:pStyle w:val="Heading3"/>
        <w:jc w:val="center"/>
        <w:rPr>
          <w:rFonts w:ascii="Times New Roman" w:hAnsi="Times New Roman"/>
          <w:u w:val="single"/>
        </w:rPr>
      </w:pPr>
      <w:bookmarkStart w:name="_Toc224562625" w:id="25"/>
      <w:bookmarkEnd w:id="24"/>
      <w:r w:rsidRPr="00F278ED">
        <w:rPr>
          <w:rFonts w:ascii="Times New Roman" w:hAnsi="Times New Roman"/>
          <w:u w:val="single"/>
        </w:rPr>
        <w:t>Eliminating Specialty Codes</w:t>
      </w:r>
      <w:bookmarkEnd w:id="25"/>
    </w:p>
    <w:p w:rsidRPr="00F278ED" w:rsidR="00F278ED" w:rsidP="00F278ED" w:rsidRDefault="00F278ED" w14:paraId="2ED03EE5" w14:textId="77777777"/>
    <w:p w:rsidRPr="001679BB" w:rsidR="009A5DC6" w:rsidP="009A5DC6" w:rsidRDefault="009A5DC6" w14:paraId="55CED03A" w14:textId="6E38ADAE">
      <w:pPr>
        <w:spacing w:line="480" w:lineRule="auto"/>
        <w:ind w:firstLine="720"/>
      </w:pPr>
      <w:r w:rsidRPr="001679BB">
        <w:t xml:space="preserve">The feasibility of eliminating specialty codes runs does not explicitly run afoul of any Title 10 language. However, DOPMA requires officers up for promotion to be placed in competitive categories for promotion. If there are no longer specialty codes, and career progressions are more amorphous where a Guardian could have cyber, intelligence and space operations experience, then it breaks the current paradigm. Currently, the Space Force utilizes a Line of the Space Force (LSF) competitive category split into two subcategories, LSF-Operations and LSF-Force Modernization.  Those would need to be done away with as the distinction would no longer exist. They could be realigned by a preponderance of experience category alignment or just consolidated into a single category. There is significant precedent for that, as the Air Force used that combined method from inception until October 2019 (Losey, 2019). </w:t>
      </w:r>
      <w:r w:rsidR="00FA3AB0">
        <w:t xml:space="preserve">The Air Force moved away from this combined method to achieve more equitable promotion outcomes where career fields could compete with like career fields. The Space Force would have less of an issue there as the spread of specialties is magnitudes smaller. </w:t>
      </w:r>
    </w:p>
    <w:p w:rsidRPr="001679BB" w:rsidR="009A5DC6" w:rsidP="009A5DC6" w:rsidRDefault="009A5DC6" w14:paraId="7A172279" w14:textId="62B6094B">
      <w:pPr>
        <w:spacing w:line="480" w:lineRule="auto"/>
        <w:ind w:firstLine="720"/>
      </w:pPr>
      <w:r w:rsidRPr="001679BB">
        <w:t>From a personnel management standpoint, this would increase talent management difficulty. Space Force specialty codes identify career area, career field, specific functional areas, and skill level</w:t>
      </w:r>
      <w:r w:rsidR="00CB1946">
        <w:t xml:space="preserve"> (Appendix D)</w:t>
      </w:r>
      <w:r w:rsidRPr="001679BB">
        <w:t xml:space="preserve">. This lets career field managers and the service quickly query the force and see where manning levels are, where gaps may be, and allow for efficient talent management. Removing that for experienced based will allow for more tailored assignment </w:t>
      </w:r>
      <w:r w:rsidRPr="001679BB">
        <w:t>management, but that tailored assignment management will take more time and cost more per member than any other service. That could lead to difficulties in advocating for congressional funding among competing priorities, even intra-service.</w:t>
      </w:r>
    </w:p>
    <w:p w:rsidRPr="001679BB" w:rsidR="009A5DC6" w:rsidP="009A5DC6" w:rsidRDefault="009A5DC6" w14:paraId="64928141" w14:textId="6864D468">
      <w:pPr>
        <w:spacing w:line="480" w:lineRule="auto"/>
        <w:ind w:firstLine="720"/>
      </w:pPr>
      <w:r w:rsidRPr="001679BB">
        <w:t xml:space="preserve">Joint operations are where this runs into the biggest hurdle. Joint Manpower documents, as governed by CJCSI </w:t>
      </w:r>
      <w:r w:rsidR="00C36F29">
        <w:t xml:space="preserve">1001.01C and further guidance across </w:t>
      </w:r>
      <w:r w:rsidRPr="001679BB">
        <w:t>1300.05,</w:t>
      </w:r>
      <w:r w:rsidRPr="00C36F29" w:rsidR="00C36F29">
        <w:t xml:space="preserve"> 4320.01</w:t>
      </w:r>
      <w:r w:rsidR="00C36F29">
        <w:t>, and others</w:t>
      </w:r>
      <w:r w:rsidRPr="001679BB">
        <w:t xml:space="preserve"> all utilize specialty codes. The Space Force would either need to have all </w:t>
      </w:r>
      <w:r w:rsidR="00623969">
        <w:t>Joint</w:t>
      </w:r>
      <w:r w:rsidRPr="001679BB">
        <w:t xml:space="preserve"> UMDs</w:t>
      </w:r>
      <w:r w:rsidR="00623969">
        <w:t xml:space="preserve"> (JMDs)</w:t>
      </w:r>
      <w:r w:rsidRPr="001679BB">
        <w:t xml:space="preserve"> updated for Space Force personnel or assign a specialty code to Guardians specifically for joint positions. Additionally, all Department of War units need to report their monthly readiness so that the Pentagon and combatant commanders know what the available force is in the event of contingencies. Without a specialty code identified, that reporting becomes significantly more complicated for the Space Force. </w:t>
      </w:r>
    </w:p>
    <w:p w:rsidRPr="001679BB" w:rsidR="009A5DC6" w:rsidP="009A5DC6" w:rsidRDefault="009A5DC6" w14:paraId="637579D8" w14:textId="77777777">
      <w:pPr>
        <w:spacing w:line="480" w:lineRule="auto"/>
        <w:ind w:firstLine="720"/>
      </w:pPr>
      <w:r w:rsidRPr="001679BB">
        <w:t xml:space="preserve">From a cultural standpoint, training requirements and development become murkier. Guardians lose the career field mentorship Senior Non-Commissioned Officers and Field Grade or Flag Officers could provide. Career fields’ development paths would become obsolete and appropriate progression to senior levels of leadership would be harder to identify.  That also leads to difficulties for Developmental Team constructions. Additionally, the Space Force would lose the ability to create in corps cultures. Space Operations can have a sub-culture as can Cyber, Intel, etc. but when that barrier is broken down, so does the community feel and pride of the career field. </w:t>
      </w:r>
    </w:p>
    <w:p w:rsidRPr="001679BB" w:rsidR="009A5DC6" w:rsidP="009A5DC6" w:rsidRDefault="009A5DC6" w14:paraId="2CD04E81" w14:textId="77777777">
      <w:pPr>
        <w:spacing w:line="480" w:lineRule="auto"/>
        <w:ind w:firstLine="720"/>
      </w:pPr>
      <w:r w:rsidRPr="001679BB">
        <w:t xml:space="preserve">Finally, there would be downstream financial difficulties to include recruiting, which would need to be more specialized to find specific skillsets, retention bonuses for specialties, and lobbying for congressional funding for anything specialty related. </w:t>
      </w:r>
    </w:p>
    <w:p w:rsidR="00C36F29" w:rsidP="00F278ED" w:rsidRDefault="00C36F29" w14:paraId="6350E86D" w14:textId="05AFDBD7">
      <w:pPr>
        <w:pStyle w:val="Heading3"/>
        <w:jc w:val="center"/>
        <w:rPr>
          <w:rFonts w:ascii="Times New Roman" w:hAnsi="Times New Roman"/>
          <w:u w:val="single"/>
        </w:rPr>
      </w:pPr>
      <w:bookmarkStart w:name="_Toc224562626" w:id="26"/>
      <w:r>
        <w:rPr>
          <w:rFonts w:ascii="Times New Roman" w:hAnsi="Times New Roman"/>
          <w:u w:val="single"/>
        </w:rPr>
        <w:t>Joint Interoperability</w:t>
      </w:r>
    </w:p>
    <w:p w:rsidR="00655EF9" w:rsidP="00655EF9" w:rsidRDefault="00C36F29" w14:paraId="405EB5C4" w14:textId="36FE37EB">
      <w:pPr>
        <w:spacing w:line="480" w:lineRule="auto"/>
      </w:pPr>
      <w:r>
        <w:tab/>
      </w:r>
      <w:r>
        <w:t xml:space="preserve">Joint integration is mentioned throughout the above topics and deserves its own section in feasibility due to the criticality of joint operations in the Department of War. </w:t>
      </w:r>
      <w:r w:rsidR="004C3A9E">
        <w:t xml:space="preserve">The Joint Manpower and Personnel Program (JMPP) integrates the Joint Force and allows Combatant Commanders to define the force structure, to include manpower, to effectively and efficiently accomplish the missions required (CJCSI 1001.01C). </w:t>
      </w:r>
      <w:r w:rsidR="009B5FC1">
        <w:t>This is accomplished through the Space Force’s M</w:t>
      </w:r>
      <w:r w:rsidR="00F3163B">
        <w:t xml:space="preserve">anpower Program Execution System (MPES). </w:t>
      </w:r>
      <w:r w:rsidR="00623969">
        <w:t>MPES alone coordinates with roughly 20 DAF and 100 Joint systems.</w:t>
      </w:r>
    </w:p>
    <w:p w:rsidR="00655EF9" w:rsidP="000830F3" w:rsidRDefault="00CF28E2" w14:paraId="3F3A0545" w14:textId="0452812C">
      <w:pPr>
        <w:spacing w:line="480" w:lineRule="auto"/>
        <w:ind w:firstLine="720"/>
      </w:pPr>
      <w:r>
        <w:t>Regarding</w:t>
      </w:r>
      <w:r w:rsidR="000830F3">
        <w:t xml:space="preserve"> specialty codes, </w:t>
      </w:r>
      <w:r w:rsidR="00F3163B">
        <w:t xml:space="preserve">MPES does not allow for removal of specialty code so it would need system adjustment and likely rescoping to account for the </w:t>
      </w:r>
      <w:r w:rsidR="00DC0D62">
        <w:t>experience-based</w:t>
      </w:r>
      <w:r w:rsidR="00F3163B">
        <w:t xml:space="preserve"> system the thought piece advocates for. </w:t>
      </w:r>
      <w:r w:rsidR="00F71141">
        <w:t>Additionally, all Joint Manning Documents (JMDs) utilize skill codes, the DAF version of specialty codes, so there would need to be coordination with the Joint Staff on if they would be willing to change that construct for Guardians (1001.01C). This would create cascade affects with the Fourth Estate Manpower Tracking System (FMTS) which is the system that defines joint manpower requirements (1001.01C)</w:t>
      </w:r>
      <w:r w:rsidR="00873D43">
        <w:t xml:space="preserve"> and the electronic Joint Manpower and Personnel System (eJMAPS)</w:t>
      </w:r>
      <w:r w:rsidR="00F71141">
        <w:t xml:space="preserve">. </w:t>
      </w:r>
      <w:r w:rsidR="00873D43">
        <w:t xml:space="preserve">This increases difficulty in both coordination and cost, as there is a system change and management cost introduced to joint units. </w:t>
      </w:r>
      <w:r w:rsidR="000830F3">
        <w:t xml:space="preserve">There are also DoW reporting requirements on skill codes </w:t>
      </w:r>
      <w:r w:rsidR="00873D43">
        <w:t>as part of DoDI 1312.01 that would further exacerbate the difficulties.</w:t>
      </w:r>
    </w:p>
    <w:p w:rsidR="00F3163B" w:rsidP="00655EF9" w:rsidRDefault="00F71141" w14:paraId="60109894" w14:textId="487E535D">
      <w:pPr>
        <w:spacing w:line="480" w:lineRule="auto"/>
        <w:ind w:firstLine="720"/>
      </w:pPr>
      <w:r>
        <w:t xml:space="preserve">The rank proposal runs into similar issues as the joint force determines its manpower needs and grades, so if those grades no longer mesh with what the Space Force can present, it presents a </w:t>
      </w:r>
      <w:r w:rsidR="00655EF9">
        <w:t>logistical problem. The joint force may also not concur with the Space Force’s new grade criteria, leading to a cultural disconnect.</w:t>
      </w:r>
      <w:r w:rsidR="00873D43">
        <w:t xml:space="preserve"> Those are less of a cost problem but do create an insurmountable obstacle if the force no longer has the enlisted personnel grade availability the joint force requires.</w:t>
      </w:r>
    </w:p>
    <w:p w:rsidR="00873D43" w:rsidP="00655EF9" w:rsidRDefault="00873D43" w14:paraId="09401AE5" w14:textId="13232813">
      <w:pPr>
        <w:spacing w:line="480" w:lineRule="auto"/>
        <w:ind w:firstLine="720"/>
      </w:pPr>
      <w:r>
        <w:t>Finally, separating into technical and leadership tracks is not overly burdensome from a system perspective, and there is precedent with Warrant Officers. The difficulty for the Space Force comes in its size. The Space Force is so small that further splitting its available population into “leadership” and “technical” positions creates smaller population pools to pull from</w:t>
      </w:r>
      <w:r w:rsidR="00623969">
        <w:t xml:space="preserve"> for these joint positions. E</w:t>
      </w:r>
      <w:r>
        <w:t xml:space="preserve">ach joint billet would also need to be negotiated on which type of Guardian they want, and assurances that leaders would still be functionally technically literate and technical experts would still possess requisite management ability. </w:t>
      </w:r>
    </w:p>
    <w:p w:rsidR="009A5DC6" w:rsidP="00F278ED" w:rsidRDefault="009A5DC6" w14:paraId="4E606814" w14:textId="5072E891">
      <w:pPr>
        <w:pStyle w:val="Heading3"/>
        <w:jc w:val="center"/>
        <w:rPr>
          <w:rFonts w:ascii="Times New Roman" w:hAnsi="Times New Roman"/>
          <w:u w:val="single"/>
        </w:rPr>
      </w:pPr>
      <w:r w:rsidRPr="00F278ED">
        <w:rPr>
          <w:rFonts w:ascii="Times New Roman" w:hAnsi="Times New Roman"/>
          <w:u w:val="single"/>
        </w:rPr>
        <w:t>Summary</w:t>
      </w:r>
      <w:bookmarkEnd w:id="26"/>
    </w:p>
    <w:p w:rsidRPr="00F278ED" w:rsidR="00F278ED" w:rsidP="00F278ED" w:rsidRDefault="00F278ED" w14:paraId="21A56634" w14:textId="77777777"/>
    <w:p w:rsidRPr="00341BCD" w:rsidR="00B37C87" w:rsidP="00341BCD" w:rsidRDefault="009A5DC6" w14:paraId="5C29CAE0" w14:textId="2454E25A">
      <w:pPr>
        <w:spacing w:line="480" w:lineRule="auto"/>
        <w:ind w:firstLine="720"/>
      </w:pPr>
      <w:r w:rsidRPr="001679BB">
        <w:t xml:space="preserve">From a feasibility analysis standpoint, most of the proposals, except perhaps the mission area realignment model and eliminating the officer and enlisted corps differentiation, </w:t>
      </w:r>
      <w:r w:rsidR="00623969">
        <w:t>are feasible</w:t>
      </w:r>
      <w:r w:rsidRPr="001679BB">
        <w:t>, but possible does not mean advisable. Interoperability is key in the joint fight and pivoting the Space Force to an atypical structure limits that interoperability or makes it more expensive in a resource constrained environment. However, the space domain is unique and as the Space Force is in its relative infancy, now is the time to make any bold changes before further institutional friction is increasingly entrenched.</w:t>
      </w:r>
      <w:bookmarkStart w:name="_Toc224562627" w:id="27"/>
    </w:p>
    <w:p w:rsidR="009A5DC6" w:rsidP="00F278ED" w:rsidRDefault="009A5DC6" w14:paraId="1ACF9FF9" w14:textId="03C29DBB">
      <w:pPr>
        <w:pStyle w:val="Heading1"/>
        <w:rPr>
          <w:rFonts w:ascii="Times New Roman" w:hAnsi="Times New Roman"/>
          <w:sz w:val="24"/>
          <w:szCs w:val="24"/>
        </w:rPr>
      </w:pPr>
      <w:r w:rsidRPr="00F278ED">
        <w:rPr>
          <w:rFonts w:ascii="Times New Roman" w:hAnsi="Times New Roman"/>
          <w:sz w:val="24"/>
          <w:szCs w:val="24"/>
        </w:rPr>
        <w:t>Impact Analysis</w:t>
      </w:r>
      <w:bookmarkEnd w:id="27"/>
    </w:p>
    <w:p w:rsidRPr="00F278ED" w:rsidR="00F278ED" w:rsidP="00F278ED" w:rsidRDefault="00F278ED" w14:paraId="7819780F" w14:textId="77777777"/>
    <w:p w:rsidRPr="001679BB" w:rsidR="009A5DC6" w:rsidP="009A5DC6" w:rsidRDefault="009A5DC6" w14:paraId="2A38C5A9" w14:textId="6F43D3F2">
      <w:pPr>
        <w:spacing w:line="480" w:lineRule="auto"/>
        <w:ind w:firstLine="720"/>
      </w:pPr>
      <w:r w:rsidRPr="001679BB">
        <w:t xml:space="preserve">Now that feasibility has been determined, the below section will delineate the benefits and downsides of the feasible proposals. These include Lateral Entry, Separate Leadership and Technical Tracks, and Eliminating Specialty Codes. </w:t>
      </w:r>
      <w:r w:rsidRPr="001679BB" w:rsidR="00980CDB">
        <w:t>Mission</w:t>
      </w:r>
      <w:r w:rsidRPr="001679BB">
        <w:t xml:space="preserve"> Deltas are the feasible implementation strategy equivalent to the Mission Alignment Model, so the Mission Deltas will be covered in the Implementation Strategy Section as the Space Force is already proceeding with those. </w:t>
      </w:r>
    </w:p>
    <w:p w:rsidR="009A5DC6" w:rsidP="00F278ED" w:rsidRDefault="009A5DC6" w14:paraId="5F03B2B1" w14:textId="77777777">
      <w:pPr>
        <w:pStyle w:val="Heading3"/>
        <w:jc w:val="center"/>
        <w:rPr>
          <w:rFonts w:ascii="Times New Roman" w:hAnsi="Times New Roman"/>
          <w:u w:val="single"/>
        </w:rPr>
      </w:pPr>
      <w:bookmarkStart w:name="_Toc224562628" w:id="28"/>
      <w:r w:rsidRPr="00F278ED">
        <w:rPr>
          <w:rFonts w:ascii="Times New Roman" w:hAnsi="Times New Roman"/>
          <w:u w:val="single"/>
        </w:rPr>
        <w:t>Lateral Entry</w:t>
      </w:r>
      <w:bookmarkEnd w:id="28"/>
    </w:p>
    <w:p w:rsidRPr="00F278ED" w:rsidR="00F278ED" w:rsidP="00F278ED" w:rsidRDefault="00F278ED" w14:paraId="6D149B6F" w14:textId="77777777"/>
    <w:p w:rsidRPr="001679BB" w:rsidR="009A5DC6" w:rsidP="009A5DC6" w:rsidRDefault="009A5DC6" w14:paraId="2BEB2963" w14:textId="77777777">
      <w:pPr>
        <w:spacing w:line="480" w:lineRule="auto"/>
        <w:ind w:firstLine="720"/>
      </w:pPr>
      <w:bookmarkStart w:name="_Hlk226108478" w:id="29"/>
      <w:r w:rsidRPr="001679BB">
        <w:t xml:space="preserve">The benefits of lateral entry are both strategic and tactical. In the long term, the Space Force is going to need Guardians with experience in rapidly developing technology that may not already be directly integrated into the force. The Space domain is shared in concert with commercial entities, partner nations, and adversarial nations. That requires an understanding that emerging technologies are going to become operationally significant at a rapid pace. </w:t>
      </w:r>
    </w:p>
    <w:p w:rsidRPr="001679BB" w:rsidR="009A5DC6" w:rsidP="009A5DC6" w:rsidRDefault="009A5DC6" w14:paraId="779F82D1" w14:textId="77777777">
      <w:pPr>
        <w:spacing w:line="480" w:lineRule="auto"/>
        <w:ind w:firstLine="720"/>
      </w:pPr>
      <w:r w:rsidRPr="001679BB">
        <w:t xml:space="preserve">For example, Starlink satellites were programmed and fueled to be able to perform routine collision avoidance. In just six months in 2024, Starlink satellites made almost 50,000 avoidance maneuvers (Pultarova, 2024). Understanding how mega constellations work, the data and lessons from all those avoidance maneuvers, and how exactly they were programmed and executed are all skills the Space Force may need at some point but would not generate in-house. Lateral entry with constructive service credit creates a way for the service to recruit and onboard that SpaceX engineer or programmer. </w:t>
      </w:r>
    </w:p>
    <w:p w:rsidRPr="001679BB" w:rsidR="009A5DC6" w:rsidP="009A5DC6" w:rsidRDefault="009A5DC6" w14:paraId="3D6A938C" w14:textId="77777777">
      <w:pPr>
        <w:spacing w:line="480" w:lineRule="auto"/>
        <w:ind w:firstLine="720"/>
      </w:pPr>
      <w:r w:rsidRPr="001679BB">
        <w:t xml:space="preserve">The downsides are minimal with one exception. The minor downsides are that the individual off the street would be coming into potentially a Field Grade officer role with no military experience, but that has not been a substantive issue in our other professional corps or thus far in the Space Force. There is a personnel cost as well to run the system that onboards these officers, but that personnel cost is smaller than the cost it would take to train for specific skillsets at the pace of need. </w:t>
      </w:r>
    </w:p>
    <w:p w:rsidRPr="001679BB" w:rsidR="009A5DC6" w:rsidP="009A5DC6" w:rsidRDefault="009A5DC6" w14:paraId="3CAB3302" w14:textId="77777777">
      <w:pPr>
        <w:spacing w:line="480" w:lineRule="auto"/>
        <w:ind w:firstLine="720"/>
      </w:pPr>
      <w:r w:rsidRPr="001679BB">
        <w:t xml:space="preserve">The downside that would need mitigation is the potential for conflict of interest. If someone is brought on board from private industry, utilized in a field that reflects their private industry expertise, and then eventually cycles back to industry, there is the risk of conflict of interest. If an acquisitions professional comes in and is part of awarding a contract to a defense contractor and </w:t>
      </w:r>
      <w:r w:rsidRPr="001679BB">
        <w:t xml:space="preserve">then cycles back and works for that defense contractor on that contract, the ethical waters quickly get murky. </w:t>
      </w:r>
    </w:p>
    <w:p w:rsidRPr="001679BB" w:rsidR="009A5DC6" w:rsidP="009A5DC6" w:rsidRDefault="009A5DC6" w14:paraId="0ED0A2B4" w14:textId="12E8495B">
      <w:pPr>
        <w:spacing w:line="480" w:lineRule="auto"/>
        <w:ind w:firstLine="720"/>
      </w:pPr>
      <w:r w:rsidRPr="001679BB">
        <w:t>The upsides of this far outweigh the downsides, but the downside of potential conflicts of interest and consequent appearance of corrupt processes does need mitigation</w:t>
      </w:r>
      <w:r w:rsidR="00EE1ED2">
        <w:t xml:space="preserve">. There is legal precedent for cooling-off periods for senior government employees that could be brought down to lower ranks (18 USC 207), and this could require some legislative updates, but that would be </w:t>
      </w:r>
      <w:r w:rsidR="00623969">
        <w:t>relatively</w:t>
      </w:r>
      <w:r w:rsidR="00EE1ED2">
        <w:t xml:space="preserve"> minor</w:t>
      </w:r>
      <w:r w:rsidR="00B21ADB">
        <w:t xml:space="preserve"> given the existing framework</w:t>
      </w:r>
      <w:r w:rsidR="00EE1ED2">
        <w:t>.</w:t>
      </w:r>
    </w:p>
    <w:p w:rsidR="009A5DC6" w:rsidP="00F278ED" w:rsidRDefault="009A5DC6" w14:paraId="74FE9819" w14:textId="77777777">
      <w:pPr>
        <w:pStyle w:val="Heading3"/>
        <w:jc w:val="center"/>
        <w:rPr>
          <w:rFonts w:ascii="Times New Roman" w:hAnsi="Times New Roman"/>
          <w:u w:val="single"/>
        </w:rPr>
      </w:pPr>
      <w:bookmarkStart w:name="_Toc224562629" w:id="30"/>
      <w:bookmarkEnd w:id="29"/>
      <w:r w:rsidRPr="00F278ED">
        <w:rPr>
          <w:rFonts w:ascii="Times New Roman" w:hAnsi="Times New Roman"/>
          <w:u w:val="single"/>
        </w:rPr>
        <w:t>Separate Leadership and Technical Tracks</w:t>
      </w:r>
      <w:bookmarkEnd w:id="30"/>
    </w:p>
    <w:p w:rsidRPr="00F278ED" w:rsidR="00F278ED" w:rsidP="00F278ED" w:rsidRDefault="00F278ED" w14:paraId="1F8C7313" w14:textId="77777777"/>
    <w:p w:rsidRPr="001679BB" w:rsidR="009A5DC6" w:rsidP="00F338A5" w:rsidRDefault="009A5DC6" w14:paraId="24237A08" w14:textId="4DF91DB0">
      <w:pPr>
        <w:spacing w:line="480" w:lineRule="auto"/>
        <w:ind w:firstLine="720"/>
      </w:pPr>
      <w:bookmarkStart w:name="_Hlk226109634" w:id="31"/>
      <w:r w:rsidRPr="001679BB">
        <w:t>Unlike Lateral Entry, separate leadership and technical tracks have minimal upside but substantive downside if done wholistically. Even smaller shred outs, like the Warrant Officer program, provide a better return on investment, but are not desired by Space Force leadership</w:t>
      </w:r>
      <w:r w:rsidR="00F338A5">
        <w:t xml:space="preserve"> (Hadley, 2024)</w:t>
      </w:r>
      <w:r w:rsidRPr="001679BB">
        <w:t>.</w:t>
      </w:r>
      <w:r w:rsidR="00F338A5">
        <w:t xml:space="preserve"> </w:t>
      </w:r>
      <w:r w:rsidRPr="001679BB">
        <w:t xml:space="preserve">Leadership in the military is a core competency in both the enlisted and officer corps. The Space Force is the most technical armed service, but that makes delineating between leaders and technicians more difficult. </w:t>
      </w:r>
    </w:p>
    <w:p w:rsidRPr="001679BB" w:rsidR="009A5DC6" w:rsidP="009A5DC6" w:rsidRDefault="009A5DC6" w14:paraId="000D5C94" w14:textId="3D88CC1D">
      <w:pPr>
        <w:spacing w:line="480" w:lineRule="auto"/>
        <w:ind w:firstLine="720"/>
      </w:pPr>
      <w:r w:rsidRPr="001679BB">
        <w:t>Gen Saltzman, the Chief of Space Operations, addressed the question on Warrant Officers, asserting “We don’t see a need to have warrant officers at this point. Because of the way we were designed, all our enlisted personnel have very technical paths…And so we feel like there’s other avenues to provide them the compensation they need. And at some point, how small can a career field or a rank be before it’s too hard</w:t>
      </w:r>
      <w:r w:rsidR="00980CDB">
        <w:t xml:space="preserve"> or</w:t>
      </w:r>
      <w:r w:rsidRPr="001679BB">
        <w:t xml:space="preserve"> too onerous to manage administratively? </w:t>
      </w:r>
      <w:r w:rsidRPr="001679BB" w:rsidR="00CF28E2">
        <w:t>So,</w:t>
      </w:r>
      <w:r w:rsidRPr="001679BB">
        <w:t xml:space="preserve"> we’re not pursuing that right now” (Hadley, 2024).  Further splitting the force creates myriad talent management difficulties, including joint officer development and fulfilling operational requirements.</w:t>
      </w:r>
    </w:p>
    <w:p w:rsidRPr="001679BB" w:rsidR="00691438" w:rsidP="00691438" w:rsidRDefault="009A5DC6" w14:paraId="65E395EB" w14:textId="66FB4D42">
      <w:pPr>
        <w:spacing w:line="480" w:lineRule="auto"/>
        <w:ind w:firstLine="720"/>
      </w:pPr>
      <w:r w:rsidRPr="001679BB">
        <w:t>The goal of the Space Force appears to be to have every Guardian as a technical expert, making the distinction of a technician meaningless. The upside comes if the service experiences exponential growth, the United States pursue a Chinese model of one unified space service and have a USSF and NASA combination, or some other substantive change happens to the force. Otherwise, the service needs to figure out how to reward technical expertise without sacrificing leadership expectations.</w:t>
      </w:r>
    </w:p>
    <w:p w:rsidR="009A5DC6" w:rsidP="00F278ED" w:rsidRDefault="009A5DC6" w14:paraId="2CCDF503" w14:textId="77777777">
      <w:pPr>
        <w:pStyle w:val="Heading3"/>
        <w:jc w:val="center"/>
        <w:rPr>
          <w:rFonts w:ascii="Times New Roman" w:hAnsi="Times New Roman"/>
          <w:u w:val="single"/>
        </w:rPr>
      </w:pPr>
      <w:bookmarkStart w:name="_Toc224562630" w:id="32"/>
      <w:bookmarkEnd w:id="31"/>
      <w:r w:rsidRPr="00F278ED">
        <w:rPr>
          <w:rFonts w:ascii="Times New Roman" w:hAnsi="Times New Roman"/>
          <w:u w:val="single"/>
        </w:rPr>
        <w:t>Eliminating Specialty Codes</w:t>
      </w:r>
      <w:bookmarkEnd w:id="32"/>
    </w:p>
    <w:p w:rsidRPr="00F278ED" w:rsidR="00F278ED" w:rsidP="00F278ED" w:rsidRDefault="00F278ED" w14:paraId="6B2A1B77" w14:textId="77777777"/>
    <w:p w:rsidRPr="003D7F0D" w:rsidR="007669F2" w:rsidP="009A5DC6" w:rsidRDefault="007669F2" w14:paraId="559C8FC4" w14:textId="3427B120">
      <w:pPr>
        <w:spacing w:line="480" w:lineRule="auto"/>
        <w:ind w:firstLine="720"/>
      </w:pPr>
      <w:r w:rsidRPr="003D7F0D">
        <w:t>Military departments have long made a practice of modifying career areas, consolidating career specialties, eliminating specialties, and creating new ones</w:t>
      </w:r>
      <w:r w:rsidRPr="003D7F0D" w:rsidR="009A5DC6">
        <w:t xml:space="preserve">. </w:t>
      </w:r>
      <w:r w:rsidRPr="003D7F0D">
        <w:t xml:space="preserve">However, no service has ever gone away from them completely. </w:t>
      </w:r>
    </w:p>
    <w:p w:rsidRPr="003D7F0D" w:rsidR="007669F2" w:rsidP="009A5DC6" w:rsidRDefault="007669F2" w14:paraId="5FE7E4E0" w14:textId="4C5C5DFE">
      <w:pPr>
        <w:spacing w:line="480" w:lineRule="auto"/>
        <w:ind w:firstLine="720"/>
      </w:pPr>
      <w:r w:rsidRPr="003D7F0D">
        <w:t xml:space="preserve">The reason no service has abandoned specialty codes is enterprise talent management and readiness reporting. Specialty codes designate a grade or skill level defined level of competence in a career area. Losing those would lose a standard readiness reporting and information tool to joint warfighting as the Space Force becomes increasingly integral to the joint fight. Career field development and vectoring would be wholly lost and need to be built from the ground up. This would not be just a talent management system change but a complete paradigm change for every level of enlisted and officer leadership. </w:t>
      </w:r>
    </w:p>
    <w:p w:rsidR="007A2C5C" w:rsidP="009A5DC6" w:rsidRDefault="007669F2" w14:paraId="56886CED" w14:textId="77777777">
      <w:pPr>
        <w:spacing w:line="480" w:lineRule="auto"/>
        <w:ind w:firstLine="720"/>
      </w:pPr>
      <w:r w:rsidRPr="003D7F0D">
        <w:t>When the Air Force moved away from a consolidated Line of the Air Force for promoting, it did so</w:t>
      </w:r>
      <w:r w:rsidRPr="003D7F0D" w:rsidR="003F2544">
        <w:t xml:space="preserve"> in part to prevent enterprise biases from affecting promotion results. For example, Developmental Engineers who spent time on their PHDs competed poorly against their counterparts in other career fields who spent that same time window in command. Then, the PHDs would not promote, and the Air Force would lose that skillset. When there are no clear career fields, promotion decisions are at risk of being biased towards whatever fields the Space Force </w:t>
      </w:r>
      <w:r w:rsidRPr="003D7F0D" w:rsidR="003F2544">
        <w:t xml:space="preserve">values more heavily. If one officer spends a significant amount of time in space operations roles, whereas another is more launch focused, or acquisition heavy, how does the Space Force compare those apples and oranges in promotion decisions? </w:t>
      </w:r>
    </w:p>
    <w:p w:rsidRPr="00AC27CB" w:rsidR="007669F2" w:rsidP="009A5DC6" w:rsidRDefault="003F2544" w14:paraId="3F5523D3" w14:textId="4F020628">
      <w:pPr>
        <w:spacing w:line="480" w:lineRule="auto"/>
        <w:ind w:firstLine="720"/>
      </w:pPr>
      <w:r w:rsidRPr="003D7F0D">
        <w:t xml:space="preserve">Furthermore, there are significant requirements in the development of </w:t>
      </w:r>
      <w:r w:rsidRPr="003D7F0D" w:rsidR="00871320">
        <w:t xml:space="preserve">Space Force officers from a technical perspective, so removing the deliberate development pipelines risks their technical expertise. For example, </w:t>
      </w:r>
      <w:r w:rsidR="00871320">
        <w:t>the</w:t>
      </w:r>
      <w:r>
        <w:t xml:space="preserve"> </w:t>
      </w:r>
      <w:r w:rsidRPr="003F2544">
        <w:t>Defense Acquisition Workforce Improvement Act (DAWIA</w:t>
      </w:r>
      <w:r>
        <w:t xml:space="preserve">) and DODI 5000.66 cover the standards and implementation of those standards for uniformed acquisition professionals. These cover the three levels of certification, Defense Acquisition University courses, years of experience in acquisition billets, etc. </w:t>
      </w:r>
      <w:r w:rsidR="00871320">
        <w:t xml:space="preserve">If the Space Force were to remove career specialty codes, they would still need to </w:t>
      </w:r>
      <w:r w:rsidRPr="00AC27CB" w:rsidR="00871320">
        <w:t xml:space="preserve">develop officers that hit all these milestones, making the removal more in-name-only. </w:t>
      </w:r>
    </w:p>
    <w:p w:rsidRPr="008A5D0F" w:rsidR="00B37C87" w:rsidP="008A5D0F" w:rsidRDefault="00871320" w14:paraId="73C9BB33" w14:textId="0ED2054D">
      <w:pPr>
        <w:spacing w:line="480" w:lineRule="auto"/>
        <w:ind w:firstLine="720"/>
      </w:pPr>
      <w:r w:rsidRPr="00AC27CB">
        <w:t>That is not to say there are no benefits</w:t>
      </w:r>
      <w:r w:rsidRPr="00AC27CB" w:rsidR="003A6B86">
        <w:t>. Converting to a system of tracked experiences and competencies</w:t>
      </w:r>
      <w:r w:rsidR="006127EF">
        <w:t xml:space="preserve"> centered around specific mission areas</w:t>
      </w:r>
      <w:r w:rsidRPr="00AC27CB" w:rsidR="009A5DC6">
        <w:t xml:space="preserve"> allow</w:t>
      </w:r>
      <w:r w:rsidRPr="00AC27CB" w:rsidR="003A6B86">
        <w:t>s</w:t>
      </w:r>
      <w:r w:rsidRPr="00AC27CB" w:rsidR="009A5DC6">
        <w:t xml:space="preserve"> for more boutique development</w:t>
      </w:r>
      <w:r w:rsidR="006127EF">
        <w:t xml:space="preserve"> and focus on those areas’ operation outcomes. It could also generate</w:t>
      </w:r>
      <w:r w:rsidRPr="00AC27CB" w:rsidR="009A5DC6">
        <w:t xml:space="preserve"> more engagement from the force in guardians’ individual development</w:t>
      </w:r>
      <w:r w:rsidRPr="00AC27CB" w:rsidR="00C77A3E">
        <w:t xml:space="preserve"> if the service has the money and manpower for it</w:t>
      </w:r>
      <w:r w:rsidRPr="00AC27CB" w:rsidR="009A5DC6">
        <w:t xml:space="preserve">. Tracking specific skillsets and making the assignment process more of an application and </w:t>
      </w:r>
      <w:r w:rsidRPr="00AC27CB" w:rsidR="003A6B86">
        <w:t>acceptance</w:t>
      </w:r>
      <w:r w:rsidRPr="00AC27CB" w:rsidR="009A5DC6">
        <w:t xml:space="preserve"> process </w:t>
      </w:r>
      <w:r w:rsidRPr="00AC27CB" w:rsidR="003A6B86">
        <w:t xml:space="preserve">as opposed to the standard “needs of the Air Force” model </w:t>
      </w:r>
      <w:r w:rsidRPr="00AC27CB" w:rsidR="009A5DC6">
        <w:t>could generate more engaged production</w:t>
      </w:r>
      <w:r w:rsidRPr="00AC27CB" w:rsidR="003A6B86">
        <w:t>,</w:t>
      </w:r>
      <w:r w:rsidRPr="00AC27CB" w:rsidR="009A5DC6">
        <w:t xml:space="preserve"> less time spent learning systems</w:t>
      </w:r>
      <w:r w:rsidRPr="00AC27CB" w:rsidR="003A6B86">
        <w:t xml:space="preserve"> and higher retention of </w:t>
      </w:r>
      <w:r w:rsidRPr="00AC27CB" w:rsidR="00AC27CB">
        <w:t>topflight</w:t>
      </w:r>
      <w:r w:rsidRPr="00AC27CB" w:rsidR="003A6B86">
        <w:t xml:space="preserve"> talent. </w:t>
      </w:r>
      <w:bookmarkStart w:name="_Toc224562632" w:id="33"/>
    </w:p>
    <w:p w:rsidR="009A5DC6" w:rsidP="00F278ED" w:rsidRDefault="00CB0B08" w14:paraId="743F7545" w14:textId="1A922608">
      <w:pPr>
        <w:pStyle w:val="Heading1"/>
        <w:rPr>
          <w:rFonts w:ascii="Times New Roman" w:hAnsi="Times New Roman"/>
          <w:sz w:val="24"/>
          <w:szCs w:val="24"/>
        </w:rPr>
      </w:pPr>
      <w:r>
        <w:rPr>
          <w:rFonts w:ascii="Times New Roman" w:hAnsi="Times New Roman"/>
          <w:sz w:val="24"/>
          <w:szCs w:val="24"/>
        </w:rPr>
        <w:t xml:space="preserve">Recommendations and </w:t>
      </w:r>
      <w:r w:rsidRPr="00F278ED" w:rsidR="009A5DC6">
        <w:rPr>
          <w:rFonts w:ascii="Times New Roman" w:hAnsi="Times New Roman"/>
          <w:sz w:val="24"/>
          <w:szCs w:val="24"/>
        </w:rPr>
        <w:t>Implementation Strategy</w:t>
      </w:r>
      <w:bookmarkEnd w:id="33"/>
    </w:p>
    <w:p w:rsidRPr="00F278ED" w:rsidR="00F278ED" w:rsidP="00F278ED" w:rsidRDefault="00F278ED" w14:paraId="288B7647" w14:textId="77777777"/>
    <w:p w:rsidR="009A5DC6" w:rsidP="009A5DC6" w:rsidRDefault="009A5DC6" w14:paraId="4182C277" w14:textId="77777777">
      <w:pPr>
        <w:spacing w:line="480" w:lineRule="auto"/>
        <w:ind w:firstLine="720"/>
      </w:pPr>
      <w:r w:rsidRPr="001679BB">
        <w:t xml:space="preserve">Ultimately, the idea is to reimagine talent management for the Space Force, so this section will propose implementation steps and recommendations on what to initiate and how to do it. </w:t>
      </w:r>
      <w:r>
        <w:t xml:space="preserve">The first step is setting the baseline for what the Space Force wants to look like from an organizational </w:t>
      </w:r>
      <w:r>
        <w:t>structure standpoint, then identifying the talent management steps to develop the force to facilitate that, and finally the infrastructure required to maintain the changes.</w:t>
      </w:r>
    </w:p>
    <w:p w:rsidR="00731463" w:rsidP="003D7F0D" w:rsidRDefault="00993AF9" w14:paraId="7D608113" w14:textId="77777777">
      <w:pPr>
        <w:spacing w:line="480" w:lineRule="auto"/>
        <w:ind w:firstLine="720"/>
      </w:pPr>
      <w:r>
        <w:t xml:space="preserve">The Mission Delta progression should remain unchanged. This is a well-developed strategy to vertically integrate the elements that deliver operational outcomes and empower commanders at the lowest level and consequently accelerating decisions and actions. This also avoids the expensive and congressionally involved processes Mr. Harrison’s Mission Area Alignment model would levy. </w:t>
      </w:r>
      <w:r w:rsidR="003D7F0D">
        <w:t>In Gen Saltzman’s 2025 Space Force Vector, he champions “the Space Force must align its people, its institutions, and its resources in the singular pursuit of domain control, cementing Space Superiority as the formative purpose of the Space Force” comparing the transition the Space Force is facing to a transition from a Merchant Marine fleet to the US</w:t>
      </w:r>
      <w:r w:rsidR="00F338A5">
        <w:t xml:space="preserve"> Navy (Saltzman, 2025). </w:t>
      </w:r>
      <w:r w:rsidR="003D7F0D">
        <w:t xml:space="preserve">In forecasting the combatant needs five to fifteen years down the road, Mission Deltas are foundational. </w:t>
      </w:r>
    </w:p>
    <w:p w:rsidR="009A5DC6" w:rsidP="003D7F0D" w:rsidRDefault="003D7F0D" w14:paraId="506B265F" w14:textId="4BEA7A3E">
      <w:pPr>
        <w:spacing w:line="480" w:lineRule="auto"/>
        <w:ind w:firstLine="720"/>
      </w:pPr>
      <w:r>
        <w:t>Mission Deltas consolidate cyber, intelligence, space operations, engineering, force development and certain parts of the acquisition lifecycle for an operational capability under one authority (</w:t>
      </w:r>
      <w:r w:rsidR="00F338A5">
        <w:t>Saltzman, 2025</w:t>
      </w:r>
      <w:r>
        <w:t>). These are compl</w:t>
      </w:r>
      <w:r w:rsidR="00AB6664">
        <w:t>e</w:t>
      </w:r>
      <w:r>
        <w:t>mented with System Deltas at Space Systems Command</w:t>
      </w:r>
      <w:r w:rsidR="00E55217">
        <w:t xml:space="preserve"> to develop, field, and acquire the capabilities for those Mission Deltas (</w:t>
      </w:r>
      <w:r w:rsidR="00F338A5">
        <w:t>Saltzman, 2025</w:t>
      </w:r>
      <w:r w:rsidR="00E55217">
        <w:t xml:space="preserve">). This format creates the benefits on unified consolidation without the difficulties of the Mission Area Alignment model for the FIELDCOMs and does so at a lower and more agile level. The Space Force should continue this path to create better vertically integrated mission outcomes and results driven decision making. </w:t>
      </w:r>
    </w:p>
    <w:p w:rsidR="00EB10BA" w:rsidP="000714C8" w:rsidRDefault="00EB10BA" w14:paraId="39190976" w14:textId="015A6243">
      <w:pPr>
        <w:spacing w:line="480" w:lineRule="auto"/>
        <w:ind w:firstLine="720"/>
      </w:pPr>
      <w:r>
        <w:t xml:space="preserve">From there, the S1 should work rapidly on expanding and integrating the direct commission program to all Space Force officer career fields. </w:t>
      </w:r>
      <w:r w:rsidR="00E55217">
        <w:t xml:space="preserve">In Mission Deltas, Delta Commanders are responsible for their operational area, for example, Delta 9 is responsible for Orbital Warfare. The </w:t>
      </w:r>
      <w:r w:rsidR="00E55217">
        <w:t xml:space="preserve">Delta 9 </w:t>
      </w:r>
      <w:r w:rsidR="00056C33">
        <w:t>C</w:t>
      </w:r>
      <w:r w:rsidR="00E55217">
        <w:t>ommander can work with their component System Delta to acquire new systems to deliver Orbital Warfare outcomes, and they need to be able to work with Space Force’s Enterprise Talent Management Office</w:t>
      </w:r>
      <w:r w:rsidR="000714C8">
        <w:t xml:space="preserve"> (ETMO)</w:t>
      </w:r>
      <w:r w:rsidR="00E55217">
        <w:t xml:space="preserve"> to acquire the required talent to deliver those outcomes as well. This is where expanding the lateral entry</w:t>
      </w:r>
      <w:r>
        <w:t xml:space="preserve"> direct commission</w:t>
      </w:r>
      <w:r w:rsidR="00E55217">
        <w:t xml:space="preserve"> program to all career fields becomes critical.</w:t>
      </w:r>
    </w:p>
    <w:p w:rsidR="00E55217" w:rsidP="000714C8" w:rsidRDefault="00EB10BA" w14:paraId="0C9F2AAD" w14:textId="150386D1">
      <w:pPr>
        <w:spacing w:line="480" w:lineRule="auto"/>
        <w:ind w:firstLine="720"/>
      </w:pPr>
      <w:r>
        <w:t xml:space="preserve">The next step for </w:t>
      </w:r>
      <w:r w:rsidR="00993AF9">
        <w:t>S1 should</w:t>
      </w:r>
      <w:r>
        <w:t xml:space="preserve"> be to</w:t>
      </w:r>
      <w:r w:rsidR="00993AF9">
        <w:t xml:space="preserve"> coordinate with their Army </w:t>
      </w:r>
      <w:r>
        <w:t>counterparts</w:t>
      </w:r>
      <w:r w:rsidR="00993AF9">
        <w:t xml:space="preserve"> on lessons learned and implementation strategy for the acquisition professionals</w:t>
      </w:r>
      <w:r>
        <w:t xml:space="preserve"> and create specific coordinators that can find talent for Delta Commanders.</w:t>
      </w:r>
      <w:r w:rsidR="00E55217">
        <w:t xml:space="preserve"> If the service is going to source boutique capabilities and act at the pace of need, the Space Force is going to need to be able to quickly onboard the talent to execute those systems.</w:t>
      </w:r>
      <w:r w:rsidR="000714C8">
        <w:t xml:space="preserve"> Just like </w:t>
      </w:r>
      <w:r w:rsidR="00A55D02">
        <w:t>System</w:t>
      </w:r>
      <w:r w:rsidR="000714C8">
        <w:t xml:space="preserve"> Deltas,</w:t>
      </w:r>
      <w:r w:rsidR="00E55217">
        <w:t xml:space="preserve"> </w:t>
      </w:r>
      <w:r w:rsidR="000714C8">
        <w:t xml:space="preserve">ETMO should have a specific recruiter that can liaise with Delta Commanders and find the skillsets they need for critical programs and direct commissioning them.  The part time Guardian program may be an appropriate office to base this out of, as the skillset could come from a Guardian currently in the private sector. </w:t>
      </w:r>
      <w:r w:rsidR="00670745">
        <w:t xml:space="preserve">Once the service can onboard officers at any career </w:t>
      </w:r>
      <w:r w:rsidR="00EE1ED2">
        <w:t>field and</w:t>
      </w:r>
      <w:r w:rsidR="00670745">
        <w:t xml:space="preserve"> go out into the private sector to find them, the Space Force will have matched its system acquisition capabilities with its personnel acquisition.</w:t>
      </w:r>
    </w:p>
    <w:p w:rsidR="00B95C49" w:rsidP="00B95C49" w:rsidRDefault="00F132FC" w14:paraId="2B6CC355" w14:textId="46CB6E3E">
      <w:pPr>
        <w:spacing w:line="480" w:lineRule="auto"/>
      </w:pPr>
      <w:r>
        <w:tab/>
      </w:r>
      <w:r>
        <w:t xml:space="preserve">Given that these lateral entry officers will not have the same background as their new same rank or subordinate counterparts, the Space Force will need to make efforts to ensure a smooth cultural integration as well as professional. </w:t>
      </w:r>
      <w:r w:rsidR="00793FA8">
        <w:t>To do so, the Space Force needs to make the program clear to both existing and direct commission Guardians, select the right candidates to direct commission, and invest in their onboarding.</w:t>
      </w:r>
    </w:p>
    <w:p w:rsidR="00B95C49" w:rsidP="00B95C49" w:rsidRDefault="00793FA8" w14:paraId="22BAD676" w14:textId="3FDB6499">
      <w:pPr>
        <w:spacing w:line="480" w:lineRule="auto"/>
        <w:ind w:firstLine="720"/>
      </w:pPr>
      <w:r>
        <w:t>The Space Force must educate</w:t>
      </w:r>
      <w:r w:rsidR="00B95C49">
        <w:t xml:space="preserve"> existing Guardians</w:t>
      </w:r>
      <w:r>
        <w:t xml:space="preserve"> on</w:t>
      </w:r>
      <w:r w:rsidR="00B95C49">
        <w:t xml:space="preserve"> what the standards </w:t>
      </w:r>
      <w:r>
        <w:t>will</w:t>
      </w:r>
      <w:r w:rsidR="00B95C49">
        <w:t xml:space="preserve"> be for lateral entry and why the Space Force is utilizing it</w:t>
      </w:r>
      <w:r>
        <w:t>. The</w:t>
      </w:r>
      <w:r w:rsidR="00B95C49">
        <w:t xml:space="preserve"> messaging </w:t>
      </w:r>
      <w:r>
        <w:t>must show the program as an</w:t>
      </w:r>
      <w:r w:rsidR="00B95C49">
        <w:t xml:space="preserve"> additive, </w:t>
      </w:r>
      <w:r w:rsidR="00B95C49">
        <w:t xml:space="preserve">not a threat to existing Guardians. This </w:t>
      </w:r>
      <w:r w:rsidR="0088399F">
        <w:t xml:space="preserve">also </w:t>
      </w:r>
      <w:r w:rsidR="00B95C49">
        <w:t>includes publishing career pathways and pyramids for lateral entry officers to show what development paths might or might not look like, for exa</w:t>
      </w:r>
      <w:r w:rsidR="0088399F">
        <w:t xml:space="preserve">mple, </w:t>
      </w:r>
      <w:r w:rsidR="00B95C49">
        <w:t>not onboarding someone straight into a</w:t>
      </w:r>
      <w:r w:rsidR="0088399F">
        <w:t xml:space="preserve"> traditionally boarded position, such as</w:t>
      </w:r>
      <w:r w:rsidR="00B95C49">
        <w:t xml:space="preserve"> Command</w:t>
      </w:r>
      <w:r w:rsidR="0088399F">
        <w:t xml:space="preserve"> or Director of Operations</w:t>
      </w:r>
      <w:r w:rsidR="00B95C49">
        <w:t xml:space="preserve">. </w:t>
      </w:r>
      <w:r w:rsidR="0088399F">
        <w:t>Additionally</w:t>
      </w:r>
      <w:r w:rsidR="00077B1E">
        <w:t xml:space="preserve">, if this is to be a critical part of talent management utilization and a Mission Delta’s toolkit, </w:t>
      </w:r>
      <w:r w:rsidR="0088399F">
        <w:t xml:space="preserve">the Space Force needs to teach the Guardians how to use it and advocate for it when in command positions. Intermediate and Senior Leadership Education are a prime target for including curriculum on </w:t>
      </w:r>
      <w:r w:rsidR="00077B1E">
        <w:t>utilizing direct commission officers</w:t>
      </w:r>
      <w:r w:rsidR="0088399F">
        <w:t xml:space="preserve">. </w:t>
      </w:r>
    </w:p>
    <w:p w:rsidR="00F132FC" w:rsidP="00B95C49" w:rsidRDefault="00077B1E" w14:paraId="54B3B2EE" w14:textId="59CD241B">
      <w:pPr>
        <w:spacing w:line="480" w:lineRule="auto"/>
        <w:ind w:firstLine="720"/>
      </w:pPr>
      <w:r>
        <w:t>The most important step is</w:t>
      </w:r>
      <w:r w:rsidR="00F132FC">
        <w:t xml:space="preserve"> selection. The reputation of these direct commissioned officers will outpace any kind of </w:t>
      </w:r>
      <w:r w:rsidR="0088399F">
        <w:t>messaging, education or instruction</w:t>
      </w:r>
      <w:r w:rsidR="00F132FC">
        <w:t xml:space="preserve">. If the lateral entry program has a reputation of bringing in high caliber strong performers, teams will be excited when one is coming there way. To do that, ETMO must use a selection criteria that values not just technical expertise but a values match with the Guardian Ideals. The value match, in concert with the technical ability, creates </w:t>
      </w:r>
      <w:r w:rsidR="00B95C49">
        <w:t xml:space="preserve">enhanced team cohesion, integrated culture, increased morale and contributes to positive work environments (Harrier 2024). </w:t>
      </w:r>
      <w:r w:rsidR="00793FA8">
        <w:t xml:space="preserve"> </w:t>
      </w:r>
      <w:r w:rsidR="0088399F">
        <w:t>If the skills and values match what the Space Force needs, it lowers both the cultural and operational barriers to entry.</w:t>
      </w:r>
    </w:p>
    <w:p w:rsidR="00793FA8" w:rsidP="00B95C49" w:rsidRDefault="00793FA8" w14:paraId="2AA22CE6" w14:textId="1F8C1358">
      <w:pPr>
        <w:spacing w:line="480" w:lineRule="auto"/>
        <w:ind w:firstLine="720"/>
      </w:pPr>
      <w:r>
        <w:t xml:space="preserve">The </w:t>
      </w:r>
      <w:r w:rsidR="0088399F">
        <w:t>final</w:t>
      </w:r>
      <w:r>
        <w:t xml:space="preserve"> step is to fully utilize the onboarding operation as an opportunity to integrate the new Guardian into the Space Force culture and operational requirements. Role clarity is key to newcomer performance, so a phased process that includes a centralized Guardian cultural immersion followed with a Mission Delta level operational immersion will pay dividends (Bauer, 2007).</w:t>
      </w:r>
      <w:r w:rsidR="0088399F">
        <w:t xml:space="preserve"> The Guardian cultural immersion would likely be a centralized STARCOM endeavor whereas the Mission Deltas would each have a standardized one-to-two-week operational immersion covering the mission and the teammates who execute it with them.</w:t>
      </w:r>
    </w:p>
    <w:p w:rsidR="005F5712" w:rsidP="005F11B2" w:rsidRDefault="00793FA8" w14:paraId="1370E180" w14:textId="023C9BBB">
      <w:pPr>
        <w:spacing w:line="480" w:lineRule="auto"/>
        <w:ind w:firstLine="720"/>
      </w:pPr>
      <w:r>
        <w:t>After lateral entry, t</w:t>
      </w:r>
      <w:r w:rsidR="00A55D02">
        <w:t xml:space="preserve">he </w:t>
      </w:r>
      <w:r w:rsidR="00C80C42">
        <w:t>third</w:t>
      </w:r>
      <w:r w:rsidR="00A55D02">
        <w:t xml:space="preserve"> step to capture and leverage the technical expertise of the force is to </w:t>
      </w:r>
      <w:r w:rsidR="005F11B2">
        <w:t xml:space="preserve">develop a more robust and codified incentive </w:t>
      </w:r>
      <w:r w:rsidR="001250A8">
        <w:t xml:space="preserve">structure </w:t>
      </w:r>
      <w:r w:rsidR="005F11B2">
        <w:t>for technical expertise</w:t>
      </w:r>
      <w:r w:rsidR="00C80C42">
        <w:t>.</w:t>
      </w:r>
      <w:r w:rsidR="00990B76">
        <w:t xml:space="preserve"> The Space Force is right to continue fostering technical expertise across all Guardians. The Guardian career fields require it. Space Operations, Intelligence and Cyberspace Operations are all operational career fields where </w:t>
      </w:r>
      <w:r w:rsidR="005F5712">
        <w:t>professionals need to be able to utilize their technical expertise to deliver operational outcomes. In addition, Developmental Engineers and Acquisition Managers are critical parts of the acquisition corps with the rigorous qualifications that entails and the virtually unlimited amounts of taxpayer dollars they become stewards of, not to mention the technical certifications for programs such as mission assurance.</w:t>
      </w:r>
      <w:r w:rsidR="00C80C42">
        <w:t xml:space="preserve"> </w:t>
      </w:r>
    </w:p>
    <w:p w:rsidR="006E783F" w:rsidP="005F11B2" w:rsidRDefault="005F11B2" w14:paraId="2CB56CC1" w14:textId="50E2E2B4">
      <w:pPr>
        <w:spacing w:line="480" w:lineRule="auto"/>
        <w:ind w:firstLine="720"/>
      </w:pPr>
      <w:r>
        <w:t xml:space="preserve">Instead of vectoring for technical and leadership, the Space Force can </w:t>
      </w:r>
      <w:r w:rsidR="00C80C42">
        <w:t>reward and incentive</w:t>
      </w:r>
      <w:r>
        <w:t xml:space="preserve"> technical expertise</w:t>
      </w:r>
      <w:r w:rsidR="00C80C42">
        <w:t>, without sacrificing leadership ability</w:t>
      </w:r>
      <w:r>
        <w:t>, where it values technical expertise with a system like the Foreign Language Proficiency Bonus</w:t>
      </w:r>
      <w:r w:rsidR="001250A8">
        <w:t xml:space="preserve"> (FLPB)</w:t>
      </w:r>
      <w:r>
        <w:t xml:space="preserve">. </w:t>
      </w:r>
      <w:r w:rsidRPr="005F11B2">
        <w:t xml:space="preserve">FLPB is a monthly monetary incentive paid to eligible and qualified military personnel possessing foreign language proficiency. The objective of FLPB is </w:t>
      </w:r>
      <w:r>
        <w:t>“</w:t>
      </w:r>
      <w:r w:rsidRPr="005F11B2">
        <w:t>to encourage the acquisition, maintenance, and enhancement of foreign language skills vital to national defense</w:t>
      </w:r>
      <w:r>
        <w:t>” (MyFSS 2025)</w:t>
      </w:r>
      <w:r w:rsidR="0036277F">
        <w:t xml:space="preserve">. To earn the bonus, the members </w:t>
      </w:r>
      <w:r w:rsidR="00BB4CFF">
        <w:t>must</w:t>
      </w:r>
      <w:r w:rsidR="0036277F">
        <w:t xml:space="preserve"> demonstrate proficiency on service standard tests. </w:t>
      </w:r>
    </w:p>
    <w:p w:rsidR="00FB4D99" w:rsidP="005F11B2" w:rsidRDefault="0036277F" w14:paraId="510D26E1" w14:textId="77777777">
      <w:pPr>
        <w:spacing w:line="480" w:lineRule="auto"/>
        <w:ind w:firstLine="720"/>
      </w:pPr>
      <w:r>
        <w:t xml:space="preserve">The Space Force could use this exact model on </w:t>
      </w:r>
      <w:r w:rsidR="006E783F">
        <w:t>any</w:t>
      </w:r>
      <w:r>
        <w:t xml:space="preserve"> technical area it values. </w:t>
      </w:r>
      <w:r w:rsidR="006E783F">
        <w:t xml:space="preserve">A Space Force Technical Skill Proficiency Bonus (TSPB) could cover anything from certain languages of coding to rocket engine specifics and prove a validator for programs like Supra Coder that send Guardians to a six-month coding training.  </w:t>
      </w:r>
      <w:r w:rsidR="00500769">
        <w:t xml:space="preserve">Mission Deltas would identify what skills they need, FIELDCOMs would consolidate and ETMO would procure the tests with a technical advisor nominated from the FIELDCOMs to ensure appropriate rigor. </w:t>
      </w:r>
    </w:p>
    <w:p w:rsidR="0036277F" w:rsidP="005F11B2" w:rsidRDefault="0036277F" w14:paraId="756D1005" w14:textId="6CCEB546">
      <w:pPr>
        <w:spacing w:line="480" w:lineRule="auto"/>
        <w:ind w:firstLine="720"/>
      </w:pPr>
      <w:r>
        <w:t xml:space="preserve">The </w:t>
      </w:r>
      <w:r w:rsidR="009D0430">
        <w:t xml:space="preserve">most difficult part of implementing this change would be securing the funding in a resource constrained environment and incorporating it into future NDAAs. Beyond that, the </w:t>
      </w:r>
      <w:r>
        <w:t xml:space="preserve">cost </w:t>
      </w:r>
      <w:r w:rsidR="00500769">
        <w:t>of doing</w:t>
      </w:r>
      <w:r>
        <w:t xml:space="preserve"> this would simply be the</w:t>
      </w:r>
      <w:r w:rsidR="009D0430">
        <w:t xml:space="preserve"> congressionally approved</w:t>
      </w:r>
      <w:r>
        <w:t xml:space="preserve"> bonus payments, the designing and proctoring of tests, </w:t>
      </w:r>
      <w:r w:rsidR="006E783F">
        <w:t xml:space="preserve">likely </w:t>
      </w:r>
      <w:r>
        <w:t>an additional person in ETMO to manage the program</w:t>
      </w:r>
      <w:r w:rsidR="006E783F">
        <w:t>, and ETMO creating a Personnel Services Delivery Guide for the Military Personnel Flights working the records updates at base level</w:t>
      </w:r>
      <w:r>
        <w:t>. Development Teams could provide input on what skills they want to incentive for certain time periods</w:t>
      </w:r>
      <w:r w:rsidR="006E783F">
        <w:t xml:space="preserve"> and foster that reward system. </w:t>
      </w:r>
      <w:r w:rsidR="001A4103">
        <w:t>If Guardians do wish to fully eschew leadership development for technical mastery, then the part time Guardian program could provide pathways to civilian positions and look for authorities to waive separation cooldown windows.</w:t>
      </w:r>
    </w:p>
    <w:p w:rsidR="003D4715" w:rsidP="003D4715" w:rsidRDefault="0036277F" w14:paraId="02A71862" w14:textId="16FAF715">
      <w:pPr>
        <w:spacing w:line="480" w:lineRule="auto"/>
        <w:ind w:firstLine="720"/>
      </w:pPr>
      <w:r>
        <w:t>In areas where the service needs to further utilize or develop the skillset</w:t>
      </w:r>
      <w:r w:rsidR="003D4715">
        <w:t>s,</w:t>
      </w:r>
      <w:r>
        <w:t xml:space="preserve"> </w:t>
      </w:r>
      <w:r w:rsidR="00A44410">
        <w:t>the Space Force assignment teams</w:t>
      </w:r>
      <w:r>
        <w:t xml:space="preserve"> </w:t>
      </w:r>
      <w:r w:rsidR="00A44410">
        <w:t>and billet owners sh</w:t>
      </w:r>
      <w:r>
        <w:t xml:space="preserve">ould </w:t>
      </w:r>
      <w:r w:rsidR="00A44410">
        <w:t xml:space="preserve">utilize existing Special Experience Identifier (SEI) codes or </w:t>
      </w:r>
      <w:r>
        <w:t>create SEIs in addition to the incentive pay to indicate the specialty</w:t>
      </w:r>
      <w:r w:rsidR="005F11B2">
        <w:t xml:space="preserve">. </w:t>
      </w:r>
      <w:r w:rsidR="00A55D02">
        <w:t xml:space="preserve">SEI codes </w:t>
      </w:r>
      <w:r w:rsidR="009E62AA">
        <w:t xml:space="preserve">are used to </w:t>
      </w:r>
      <w:r w:rsidR="00522382">
        <w:t>annotate a member’s service-identified critical skillsets that are not necessarily inherent to their career field specialty</w:t>
      </w:r>
      <w:r w:rsidR="003D4715">
        <w:t xml:space="preserve"> (DAFI 36-2110)</w:t>
      </w:r>
      <w:r w:rsidR="00522382">
        <w:t xml:space="preserve">. </w:t>
      </w:r>
      <w:r w:rsidR="003D4715">
        <w:t>The</w:t>
      </w:r>
      <w:r w:rsidR="00522382">
        <w:t xml:space="preserve"> Department of the Air Force’s assignment regulation, notes that “the </w:t>
      </w:r>
      <w:r w:rsidRPr="00522382" w:rsidR="00522382">
        <w:t>SEI system may be used when experience or training is critical to the job/person assignment match, and no other means is appropriate or available</w:t>
      </w:r>
      <w:r w:rsidR="00522382">
        <w:t>”</w:t>
      </w:r>
      <w:r w:rsidR="003D4715">
        <w:t xml:space="preserve"> (DAFI 36-2110).</w:t>
      </w:r>
      <w:r w:rsidR="00522382">
        <w:t xml:space="preserve"> SEI codes are a much easier program to grow than a removal of career specialty areas and allows for the Space Force to reach</w:t>
      </w:r>
      <w:r w:rsidR="00A44410">
        <w:t xml:space="preserve"> the agile talent management removing career field specialties tries to achieve without the readiness reporting, enterprise talent management, or joint integration difficulties</w:t>
      </w:r>
      <w:r w:rsidR="00522382">
        <w:t xml:space="preserve">. </w:t>
      </w:r>
      <w:r w:rsidR="00A44410">
        <w:t>SEI codes</w:t>
      </w:r>
      <w:r w:rsidR="003D4715">
        <w:t xml:space="preserve"> also only require existing system updates, so their management and implementation on</w:t>
      </w:r>
      <w:r w:rsidR="00135652">
        <w:t>-</w:t>
      </w:r>
      <w:r w:rsidR="007A2C5C">
        <w:t>ramps are</w:t>
      </w:r>
      <w:r w:rsidR="003D4715">
        <w:t xml:space="preserve"> much shorter, cheaper</w:t>
      </w:r>
      <w:r w:rsidR="00A44410">
        <w:t>,</w:t>
      </w:r>
      <w:r w:rsidR="003D4715">
        <w:t xml:space="preserve"> and existing talent management personnel can manage them.</w:t>
      </w:r>
    </w:p>
    <w:p w:rsidR="000714C8" w:rsidP="00135652" w:rsidRDefault="003D4715" w14:paraId="5A15B7BF" w14:textId="464D8A0D">
      <w:pPr>
        <w:spacing w:line="480" w:lineRule="auto"/>
        <w:ind w:firstLine="720"/>
      </w:pPr>
      <w:r>
        <w:t xml:space="preserve"> </w:t>
      </w:r>
      <w:r w:rsidR="007A2C5C">
        <w:t>Existing SEI codes cover hundreds of space, cyber, intelligence and acquisition specialties</w:t>
      </w:r>
      <w:r w:rsidR="00AB6664">
        <w:t xml:space="preserve"> (AFOCD, 2025)</w:t>
      </w:r>
      <w:r w:rsidR="007A2C5C">
        <w:t xml:space="preserve">. If the goal is more boutique and vectored talent management, a focus on not just Career Field, but SEI possession and how that fits into what Mission Deltas need is going to generate a high return on investment. </w:t>
      </w:r>
      <w:r w:rsidR="00C55E70">
        <w:t xml:space="preserve">Mission Deltas should do a robust review of the SEI codes attached to their billets, assess if they are sufficient or require modification, propose any new identifiers they may need, and funnel these to the assignment offices at ETMO. </w:t>
      </w:r>
      <w:r w:rsidR="003650C2">
        <w:t>This will lead to more time and coordination with assignment offices</w:t>
      </w:r>
      <w:r w:rsidR="002C37CE">
        <w:t xml:space="preserve"> </w:t>
      </w:r>
      <w:r w:rsidR="003650C2">
        <w:t xml:space="preserve">and will likely require additional investment in staffing those </w:t>
      </w:r>
      <w:r w:rsidR="00BB4CFF">
        <w:t>positions but</w:t>
      </w:r>
      <w:r w:rsidR="003650C2">
        <w:t xml:space="preserve"> will pay the dividends in the downstream efficiencies</w:t>
      </w:r>
      <w:r w:rsidR="00C55E70">
        <w:t xml:space="preserve"> at a much lower cost than removing career fields entirely.</w:t>
      </w:r>
      <w:r w:rsidR="00F1496B">
        <w:t xml:space="preserve"> This would need to be worked into what the Space Force is already doing with their contractor working on assignment </w:t>
      </w:r>
      <w:r w:rsidR="00BB4CFF">
        <w:t>systems but</w:t>
      </w:r>
      <w:r w:rsidR="00F1496B">
        <w:t xml:space="preserve"> would provide the force a codified systematic way that can be assisted at both headquarters and base level.</w:t>
      </w:r>
    </w:p>
    <w:p w:rsidR="00C55E70" w:rsidP="00135652" w:rsidRDefault="0048207F" w14:paraId="6C905FA6" w14:textId="77777777">
      <w:pPr>
        <w:spacing w:line="480" w:lineRule="auto"/>
        <w:ind w:firstLine="720"/>
      </w:pPr>
      <w:r>
        <w:t xml:space="preserve">Finally, the Space Force needs the right talent management infrastructure to support </w:t>
      </w:r>
      <w:r w:rsidR="00C55E70">
        <w:t>these</w:t>
      </w:r>
      <w:r>
        <w:t xml:space="preserve"> talent management changes</w:t>
      </w:r>
      <w:r w:rsidR="00C55E70">
        <w:t xml:space="preserve"> and the ones to come</w:t>
      </w:r>
      <w:r>
        <w:t xml:space="preserve">. Currently, the Space Force has its own talent management headquarters equivalent </w:t>
      </w:r>
      <w:r w:rsidR="00C55E70">
        <w:t>to</w:t>
      </w:r>
      <w:r>
        <w:t xml:space="preserve"> ETMO and staff structure in respective S1 offices. However, base level support for uniformed guardians comes wholly from Air Force 3F0 Personnelists. These personnelists </w:t>
      </w:r>
      <w:r w:rsidR="00096627">
        <w:t xml:space="preserve">are unlikely to have ever been to a Space Force base before and to ever be stationed at one again. This means even the most seasoned technical expert Master Sergeant taking over a Military Personnel Flight will have likely never interacted with ETMO, never worked Guardian assignments, promotions, </w:t>
      </w:r>
      <w:r w:rsidR="00C55E70">
        <w:t>evaluations, etc</w:t>
      </w:r>
      <w:r w:rsidR="00096627">
        <w:t xml:space="preserve">. </w:t>
      </w:r>
      <w:r w:rsidR="00C55E70">
        <w:t>This paradigm</w:t>
      </w:r>
      <w:r w:rsidR="00096627">
        <w:t xml:space="preserve"> degrades agility and the ability for the force to implement any change</w:t>
      </w:r>
      <w:r w:rsidR="00C55E70">
        <w:t>s as</w:t>
      </w:r>
      <w:r w:rsidR="00096627">
        <w:t xml:space="preserve"> the experts in place to execute those changes do not speak the language. </w:t>
      </w:r>
    </w:p>
    <w:p w:rsidR="007A2C5C" w:rsidP="00135652" w:rsidRDefault="00096627" w14:paraId="224881BA" w14:textId="229226C9">
      <w:pPr>
        <w:spacing w:line="480" w:lineRule="auto"/>
        <w:ind w:firstLine="720"/>
      </w:pPr>
      <w:r>
        <w:t xml:space="preserve">Therefore, </w:t>
      </w:r>
      <w:r w:rsidR="00C55E70">
        <w:t>S1</w:t>
      </w:r>
      <w:r>
        <w:t xml:space="preserve"> should work with A1 and the 3F career field and create an SEI and vector for 3F0s to account for space experience.</w:t>
      </w:r>
      <w:r w:rsidR="00F7480C">
        <w:t xml:space="preserve"> The 3F career field can then work to make sure a </w:t>
      </w:r>
      <w:r w:rsidR="00F7480C">
        <w:t xml:space="preserve">meaningful percentage of the MPFs have space experience. </w:t>
      </w:r>
      <w:r>
        <w:t xml:space="preserve">This will build a stronger base of expertise and system management for the Space Force, grow professionals for S1 offices, and future civilian leaders in ETMO. </w:t>
      </w:r>
    </w:p>
    <w:p w:rsidR="009A5DC6" w:rsidP="00CB0B08" w:rsidRDefault="009A5DC6" w14:paraId="51F8CB1C" w14:textId="1EF3B3D7">
      <w:pPr>
        <w:pStyle w:val="Heading1"/>
        <w:rPr>
          <w:rFonts w:ascii="Times New Roman" w:hAnsi="Times New Roman"/>
          <w:sz w:val="24"/>
          <w:szCs w:val="24"/>
        </w:rPr>
      </w:pPr>
      <w:bookmarkStart w:name="_Toc224562633" w:id="34"/>
      <w:r w:rsidRPr="00F278ED">
        <w:rPr>
          <w:rFonts w:ascii="Times New Roman" w:hAnsi="Times New Roman"/>
          <w:sz w:val="24"/>
          <w:szCs w:val="24"/>
        </w:rPr>
        <w:t>Conclusion</w:t>
      </w:r>
      <w:bookmarkEnd w:id="34"/>
      <w:r w:rsidRPr="00F278ED">
        <w:rPr>
          <w:rFonts w:ascii="Times New Roman" w:hAnsi="Times New Roman"/>
          <w:sz w:val="24"/>
          <w:szCs w:val="24"/>
        </w:rPr>
        <w:t xml:space="preserve"> </w:t>
      </w:r>
    </w:p>
    <w:p w:rsidRPr="0045115D" w:rsidR="0045115D" w:rsidP="0045115D" w:rsidRDefault="0045115D" w14:paraId="66CDD051" w14:textId="77777777"/>
    <w:p w:rsidR="00CB0B08" w:rsidP="00CB0B08" w:rsidRDefault="00CB0B08" w14:paraId="319FFE08" w14:textId="351C13FE">
      <w:pPr>
        <w:spacing w:line="480" w:lineRule="auto"/>
        <w:ind w:firstLine="720"/>
      </w:pPr>
      <w:r>
        <w:t>The Space Force is in its infancy as a service, but the talent management infrastructure that undergirds its force is not. Now is the time to take advantage of talent management change opportunities before the infrastructure becomes as culturally ingrained as it is professionally, but that does not reduce the cost or complication of total paradigm shifts. These shifts become especially acute in terms of joint operations and existing law and policy.</w:t>
      </w:r>
    </w:p>
    <w:p w:rsidR="00F278ED" w:rsidP="00BB4CFF" w:rsidRDefault="0045115D" w14:paraId="32D5CE96" w14:textId="178635E1">
      <w:pPr>
        <w:spacing w:line="480" w:lineRule="auto"/>
        <w:ind w:firstLine="720"/>
        <w:rPr>
          <w:b/>
          <w:kern w:val="28"/>
          <w:sz w:val="28"/>
        </w:rPr>
      </w:pPr>
      <w:r>
        <w:t>Therefore, the Space Force needs to be targeted and precise in the talent management outcomes it desires and then deliberate in the best process to achieve those in a resource-constrained congressional environment. The core goals of Mr. Harrison</w:t>
      </w:r>
      <w:r w:rsidR="00AB6664">
        <w:t>’s</w:t>
      </w:r>
      <w:r>
        <w:t xml:space="preserve"> piece are all desirable; consolidated operational focus, agile talent inflow and compensation, incentivizing technical expertise, and more boutique talent alignment. However, the methods to reach those ends do not need grandiose programmatic changes. Mission Deltas, expanding existing direct commission programs, technical skill incentivizing, and career experience tracking all achieve those goals at a lower cost.  Finally, the Space Force needs dedicated professionals at base level to administer those programs and the other changes the service is working towards, ranging from evaluation, promotion, assignments, and the complexity that will come with the part-time Guardian program. </w:t>
      </w:r>
      <w:r w:rsidR="00F278ED">
        <w:br w:type="page"/>
      </w:r>
    </w:p>
    <w:p w:rsidR="009A5DC6" w:rsidP="00F278ED" w:rsidRDefault="009A5DC6" w14:paraId="5094CA09" w14:textId="59EB4C2A">
      <w:pPr>
        <w:pStyle w:val="Heading1"/>
        <w:rPr>
          <w:rFonts w:ascii="Times New Roman" w:hAnsi="Times New Roman"/>
        </w:rPr>
      </w:pPr>
      <w:bookmarkStart w:name="_Toc224562634" w:id="35"/>
      <w:r w:rsidRPr="00F278ED">
        <w:rPr>
          <w:rFonts w:ascii="Times New Roman" w:hAnsi="Times New Roman"/>
        </w:rPr>
        <w:t>References:</w:t>
      </w:r>
      <w:bookmarkEnd w:id="35"/>
    </w:p>
    <w:p w:rsidRPr="00CB1946" w:rsidR="00CB1946" w:rsidP="00CB1946" w:rsidRDefault="00CB1946" w14:paraId="00B6768D" w14:textId="77777777">
      <w:pPr>
        <w:pStyle w:val="NormalWeb"/>
        <w:spacing w:line="300" w:lineRule="atLeast"/>
      </w:pPr>
      <w:r w:rsidRPr="00CB1946">
        <w:t xml:space="preserve">Air &amp; Space Forces Magazine. </w:t>
      </w:r>
      <w:r w:rsidRPr="00CB1946">
        <w:rPr>
          <w:rStyle w:val="Emphasis"/>
        </w:rPr>
        <w:t>Air Force &amp; Space Forces Almanac 2024</w:t>
      </w:r>
      <w:r w:rsidRPr="00CB1946">
        <w:t>. Compiled by Amanda Miller, Aaron M. U. Church, and staff. June 7, 2024. Air &amp; Space Forces Association. PDF. https://www.airandspaceforces.com/app/uploads/2024/06/Almanac2024_US-Space-Force.pdf.</w:t>
      </w:r>
    </w:p>
    <w:p w:rsidRPr="00CB1946" w:rsidR="00CB1946" w:rsidP="00CB1946" w:rsidRDefault="00CB1946" w14:paraId="72EEAE33" w14:textId="77777777">
      <w:pPr>
        <w:pStyle w:val="NormalWeb"/>
        <w:spacing w:line="300" w:lineRule="atLeast"/>
      </w:pPr>
      <w:r w:rsidRPr="00CB1946">
        <w:t xml:space="preserve">Air &amp; Space Forces Magazine. “CSO: Space Force Will Not Have Warrant Officers.” </w:t>
      </w:r>
      <w:r w:rsidRPr="00CB1946">
        <w:rPr>
          <w:rStyle w:val="Emphasis"/>
        </w:rPr>
        <w:t>Air &amp; Space Forces Magazine</w:t>
      </w:r>
      <w:r w:rsidRPr="00CB1946">
        <w:t>. Accessed March 11, 2026. https://www.airandspaceforces.com/cso-space-force-no-warrant-officers/.</w:t>
      </w:r>
    </w:p>
    <w:p w:rsidRPr="00CB1946" w:rsidR="00CB1946" w:rsidP="00CB1946" w:rsidRDefault="00CB1946" w14:paraId="499DD676" w14:textId="77777777">
      <w:pPr>
        <w:pStyle w:val="NormalWeb"/>
        <w:spacing w:line="300" w:lineRule="atLeast"/>
      </w:pPr>
      <w:r w:rsidRPr="00CB1946">
        <w:t xml:space="preserve">American Enterprise Institute. Harrison, Todd. “Embracing Space Force Exceptionalism.” </w:t>
      </w:r>
      <w:r w:rsidRPr="00CB1946">
        <w:rPr>
          <w:rStyle w:val="Emphasis"/>
        </w:rPr>
        <w:t>American Enterprise Institute</w:t>
      </w:r>
      <w:r w:rsidRPr="00CB1946">
        <w:t>, February 29, 2024. https://www.aei.org/articles/embracing-space-force-exceptionalism/.</w:t>
      </w:r>
    </w:p>
    <w:p w:rsidRPr="00CB1946" w:rsidR="00CB1946" w:rsidP="00CB1946" w:rsidRDefault="00CB1946" w14:paraId="47393C84" w14:textId="77777777">
      <w:pPr>
        <w:pStyle w:val="NormalWeb"/>
        <w:spacing w:line="300" w:lineRule="atLeast"/>
      </w:pPr>
      <w:r w:rsidRPr="00CB1946">
        <w:t>Aptima, Inc. “Aptima Supports US Space Force’s Innovative Vision for Guardian Talent Management.” Press release, September 15, 2025. https://aptima.com/aptima-supports-us-space-forces-innovative-vision-for-guardian-talent-management/.</w:t>
      </w:r>
    </w:p>
    <w:p w:rsidR="00CB1946" w:rsidP="00CB1946" w:rsidRDefault="00CB1946" w14:paraId="79D37103" w14:textId="25034176">
      <w:pPr>
        <w:pStyle w:val="NormalWeb"/>
        <w:spacing w:line="300" w:lineRule="atLeast"/>
      </w:pPr>
      <w:r w:rsidRPr="00CB1946">
        <w:t xml:space="preserve">Army Acquisition Center. “Pioneering New Paths.” </w:t>
      </w:r>
      <w:r w:rsidRPr="00CB1946">
        <w:rPr>
          <w:rStyle w:val="Emphasis"/>
        </w:rPr>
        <w:t>asc.army.mil</w:t>
      </w:r>
      <w:r w:rsidRPr="00CB1946">
        <w:t xml:space="preserve">. Accessed March 11, 2026. </w:t>
      </w:r>
      <w:hyperlink w:history="1" r:id="rId13">
        <w:r w:rsidRPr="00405B35" w:rsidR="00793FA8">
          <w:rPr>
            <w:rStyle w:val="Hyperlink"/>
          </w:rPr>
          <w:t>https://asc.army.mil/web/pioneering-new-paths/</w:t>
        </w:r>
      </w:hyperlink>
      <w:r w:rsidRPr="00CB1946">
        <w:t>.</w:t>
      </w:r>
    </w:p>
    <w:p w:rsidRPr="00CB1946" w:rsidR="00793FA8" w:rsidP="00CB1946" w:rsidRDefault="00793FA8" w14:paraId="2B104730" w14:textId="0B65A96B">
      <w:pPr>
        <w:pStyle w:val="NormalWeb"/>
        <w:spacing w:line="300" w:lineRule="atLeast"/>
      </w:pPr>
      <w:r w:rsidRPr="00793FA8">
        <w:t>Bauer, Talya N., Todd Bodner, Berrin Erdogan, Donald M. Truxillo, and Jennifer S. Tucker. 2007. “Newcomer Adjustment during Organizational Socialization: A Meta‑Analytic Review of Antecedents, Outcomes, and Methods.” Journal of Applied Psychology 92, no. 3 (May): 707–21. https://doi.org/10.1037/0021-9010.92.3.707.</w:t>
      </w:r>
    </w:p>
    <w:p w:rsidRPr="00CB1946" w:rsidR="00CB1946" w:rsidP="00CB1946" w:rsidRDefault="00CB1946" w14:paraId="3FA370DB" w14:textId="77777777">
      <w:pPr>
        <w:pStyle w:val="NormalWeb"/>
        <w:spacing w:line="300" w:lineRule="atLeast"/>
      </w:pPr>
      <w:r w:rsidRPr="00CB1946">
        <w:t xml:space="preserve">Clague, Angela K. </w:t>
      </w:r>
      <w:r w:rsidRPr="00CB1946">
        <w:rPr>
          <w:rStyle w:val="Emphasis"/>
        </w:rPr>
        <w:t>Specialist or Technical Career Track Officers in the U.S. Army and the U.S. Navy</w:t>
      </w:r>
      <w:r w:rsidRPr="00CB1946">
        <w:t>. Santa Monica, CA: RAND Corporation, 2025. Research Report RR</w:t>
      </w:r>
      <w:r w:rsidRPr="00CB1946">
        <w:noBreakHyphen/>
      </w:r>
      <w:r w:rsidRPr="00CB1946">
        <w:t>A2997</w:t>
      </w:r>
      <w:r w:rsidRPr="00CB1946">
        <w:noBreakHyphen/>
      </w:r>
      <w:r w:rsidRPr="00CB1946">
        <w:t>1. PDF. https://www.rand.org/content/dam/rand/pubs/research_reports/RRA2900/RRA2997-1/RAND_RRA2997-1.pdf.</w:t>
      </w:r>
    </w:p>
    <w:p w:rsidRPr="00CB1946" w:rsidR="00CB1946" w:rsidP="00CB1946" w:rsidRDefault="00CB1946" w14:paraId="7C2D69A1" w14:textId="77777777">
      <w:pPr>
        <w:pStyle w:val="NormalWeb"/>
        <w:spacing w:line="300" w:lineRule="atLeast"/>
      </w:pPr>
      <w:r w:rsidRPr="00CB1946">
        <w:t xml:space="preserve">Congressional Research Service. Tilghman, Andrew. </w:t>
      </w:r>
      <w:r w:rsidRPr="00CB1946">
        <w:rPr>
          <w:rStyle w:val="Emphasis"/>
        </w:rPr>
        <w:t>Excess Military Infrastructure and the Base Realignment and Closure (BRAC) Process</w:t>
      </w:r>
      <w:r w:rsidRPr="00CB1946">
        <w:t>. R48547, May 27, 2025. https://www.congress.gov/crs-product/R48547.</w:t>
      </w:r>
    </w:p>
    <w:p w:rsidRPr="00CB1946" w:rsidR="00CB1946" w:rsidP="00CB1946" w:rsidRDefault="00CB1946" w14:paraId="753A5127" w14:textId="77777777">
      <w:pPr>
        <w:pStyle w:val="NormalWeb"/>
        <w:spacing w:line="300" w:lineRule="atLeast"/>
      </w:pPr>
      <w:r w:rsidRPr="00CB1946">
        <w:t xml:space="preserve">Congressional Research Service. Tilghman, Andrew. </w:t>
      </w:r>
      <w:r w:rsidRPr="00CB1946">
        <w:rPr>
          <w:rStyle w:val="Emphasis"/>
        </w:rPr>
        <w:t>Military Construction: Authorities and Processes</w:t>
      </w:r>
      <w:r w:rsidRPr="00CB1946">
        <w:t>. R44710, September 5, 2024. https://www.congress.gov/crs-product/R44710.</w:t>
      </w:r>
    </w:p>
    <w:p w:rsidRPr="00CB1946" w:rsidR="00CB1946" w:rsidP="00CB1946" w:rsidRDefault="00CB1946" w14:paraId="5948352F" w14:textId="77777777">
      <w:pPr>
        <w:pStyle w:val="NormalWeb"/>
        <w:spacing w:line="300" w:lineRule="atLeast"/>
      </w:pPr>
      <w:r w:rsidRPr="00CB1946">
        <w:t xml:space="preserve">Department of Defense. “DOD Makes Plans to Reduce Discretionary PCS Budget by Half Over Next 5 Years.” </w:t>
      </w:r>
      <w:r w:rsidRPr="00CB1946">
        <w:rPr>
          <w:rStyle w:val="Emphasis"/>
        </w:rPr>
        <w:t>U.S. Department of Defense News</w:t>
      </w:r>
      <w:r w:rsidRPr="00CB1946">
        <w:t>. Accessed March 11, 2026. https://www.war.gov/News/News-Stories/Article/article/4202043/dod-makes-plans-to-reduce-discretionary-pcs-budget-by-half-over-next-5-years/.</w:t>
      </w:r>
    </w:p>
    <w:p w:rsidRPr="00CB1946" w:rsidR="00CB1946" w:rsidP="00CB1946" w:rsidRDefault="00CB1946" w14:paraId="422D3B31" w14:textId="77777777">
      <w:pPr>
        <w:pStyle w:val="NormalWeb"/>
        <w:spacing w:line="300" w:lineRule="atLeast"/>
      </w:pPr>
      <w:r w:rsidRPr="00CB1946">
        <w:t xml:space="preserve">Department of Defense. </w:t>
      </w:r>
      <w:r w:rsidRPr="00CB1946">
        <w:rPr>
          <w:rStyle w:val="Emphasis"/>
        </w:rPr>
        <w:t>DoDI 5000.66: Defense Acquisition Workforce Education, Training, Experience, and Career Development Program</w:t>
      </w:r>
      <w:r w:rsidRPr="00CB1946">
        <w:t>. July 27, 2017; Change 3 effective March 25, 2022. PDF. https://www.esd.whs.mil/Portals/54/Documents/DD/issuances/dodi/500066p.PDF?ver=8uLQi55jR6NBmspg1dirzg%3d%3d.</w:t>
      </w:r>
    </w:p>
    <w:p w:rsidRPr="00CB1946" w:rsidR="00CB1946" w:rsidP="00CB1946" w:rsidRDefault="00CB1946" w14:paraId="5C44AEF3" w14:textId="77777777">
      <w:pPr>
        <w:pStyle w:val="NormalWeb"/>
        <w:spacing w:line="300" w:lineRule="atLeast"/>
      </w:pPr>
      <w:r w:rsidRPr="00CB1946">
        <w:t xml:space="preserve">Department of the Air Force. </w:t>
      </w:r>
      <w:r w:rsidRPr="00CB1946">
        <w:rPr>
          <w:rStyle w:val="Emphasis"/>
        </w:rPr>
        <w:t>DAFI 10-503: Strategic Basing</w:t>
      </w:r>
      <w:r w:rsidRPr="00CB1946">
        <w:t>. June 12, 2023; incorporating Change 1 (July 22, 2025). Washington, DC: e-Publishing, USAF. https://static.e-publishing.af.mil/production/1/saf_ie/publication/dafi10-503/dafi10-503.pdf.</w:t>
      </w:r>
    </w:p>
    <w:p w:rsidRPr="00CB1946" w:rsidR="00CB1946" w:rsidP="00CB1946" w:rsidRDefault="00CB1946" w14:paraId="51F88C8C" w14:textId="77777777">
      <w:pPr>
        <w:pStyle w:val="NormalWeb"/>
        <w:spacing w:line="300" w:lineRule="atLeast"/>
      </w:pPr>
      <w:r w:rsidRPr="00CB1946">
        <w:t xml:space="preserve">Department of the Air Force. </w:t>
      </w:r>
      <w:r w:rsidRPr="00CB1946">
        <w:rPr>
          <w:rStyle w:val="Emphasis"/>
        </w:rPr>
        <w:t>DAFI 36</w:t>
      </w:r>
      <w:r w:rsidRPr="00CB1946">
        <w:rPr>
          <w:rStyle w:val="Emphasis"/>
        </w:rPr>
        <w:noBreakHyphen/>
      </w:r>
      <w:r w:rsidRPr="00CB1946">
        <w:rPr>
          <w:rStyle w:val="Emphasis"/>
        </w:rPr>
        <w:t>2110: Total Force Assignments</w:t>
      </w:r>
      <w:r w:rsidRPr="00CB1946">
        <w:t>. August 9, 2024; incorporating Change 2, March 5, 2026. PDF. https://static.e-publishing.af.mil/production/1/af_a1/publication/dafi36-2110/dafi36-2110.pdf.</w:t>
      </w:r>
    </w:p>
    <w:p w:rsidRPr="00CB1946" w:rsidR="00CB1946" w:rsidP="00CB1946" w:rsidRDefault="00CB1946" w14:paraId="4734C2C2" w14:textId="77777777">
      <w:pPr>
        <w:pStyle w:val="NormalWeb"/>
        <w:spacing w:line="300" w:lineRule="atLeast"/>
      </w:pPr>
      <w:r w:rsidRPr="00CB1946">
        <w:t xml:space="preserve">Department of the Air Force. </w:t>
      </w:r>
      <w:r w:rsidRPr="00CB1946">
        <w:rPr>
          <w:rStyle w:val="Emphasis"/>
        </w:rPr>
        <w:t>DAFI 36</w:t>
      </w:r>
      <w:r w:rsidRPr="00CB1946">
        <w:rPr>
          <w:rStyle w:val="Emphasis"/>
        </w:rPr>
        <w:noBreakHyphen/>
      </w:r>
      <w:r w:rsidRPr="00CB1946">
        <w:rPr>
          <w:rStyle w:val="Emphasis"/>
        </w:rPr>
        <w:t>4005: Total Force Language, Regional Expertise, and Culture Program</w:t>
      </w:r>
      <w:r w:rsidRPr="00CB1946">
        <w:t>. July 27, 2023; incorporating Change 1, August 28, 2024. PDF. https://static.e-publishing.af.mil/production/1/af_a1/publication/dafi36-4005/dafi36-4005.pdf.</w:t>
      </w:r>
    </w:p>
    <w:p w:rsidRPr="00CB1946" w:rsidR="00CB1946" w:rsidP="00CB1946" w:rsidRDefault="00CB1946" w14:paraId="4E205588" w14:textId="77777777">
      <w:pPr>
        <w:pStyle w:val="NormalWeb"/>
        <w:spacing w:line="300" w:lineRule="atLeast"/>
      </w:pPr>
      <w:r w:rsidRPr="00CB1946">
        <w:t xml:space="preserve">Department of the Air Force. </w:t>
      </w:r>
      <w:r w:rsidRPr="00CB1946">
        <w:rPr>
          <w:rStyle w:val="Emphasis"/>
        </w:rPr>
        <w:t>Department of the Air Force Officer Classification Directory (DAFOCD)</w:t>
      </w:r>
      <w:r w:rsidRPr="00CB1946">
        <w:t>. April 30, 2025. PDF. https://tmd.texas.gov/Data/Sites/1/media/tmd-jobs/ang-dsg-vacancy/fy25/quarter-3/air-force-officer-classification-directory-afocd-30-april-2025.pdf.</w:t>
      </w:r>
    </w:p>
    <w:p w:rsidR="00CB1946" w:rsidP="00CB1946" w:rsidRDefault="00CB1946" w14:paraId="497E2011" w14:textId="1007622B">
      <w:pPr>
        <w:pStyle w:val="NormalWeb"/>
        <w:spacing w:line="300" w:lineRule="atLeast"/>
      </w:pPr>
      <w:r w:rsidRPr="00CB1946">
        <w:t xml:space="preserve">George, Ashley D. “Two DELs Transition to Fully Integrated Mission Deltas.” </w:t>
      </w:r>
      <w:r w:rsidRPr="00CB1946">
        <w:rPr>
          <w:rStyle w:val="Emphasis"/>
        </w:rPr>
        <w:t>U.S. Space Force News</w:t>
      </w:r>
      <w:r w:rsidRPr="00CB1946">
        <w:t xml:space="preserve">, November 1, 2024. </w:t>
      </w:r>
      <w:r w:rsidRPr="00793FA8" w:rsidR="00793FA8">
        <w:t>https://www.spaceforce.mil/News/Article-Display/Article/3953540/two-dels-transition-to-fully-integrated-mission-deltas/</w:t>
      </w:r>
      <w:r w:rsidRPr="00CB1946">
        <w:t>.</w:t>
      </w:r>
    </w:p>
    <w:p w:rsidRPr="00CB1946" w:rsidR="00793FA8" w:rsidP="00793FA8" w:rsidRDefault="00793FA8" w14:paraId="4FC1483D" w14:textId="5FB862D6">
      <w:pPr>
        <w:pStyle w:val="NormalWeb"/>
      </w:pPr>
      <w:r w:rsidRPr="00793FA8">
        <w:t>Harrier Talent Solutions. “The Advantages of Values</w:t>
      </w:r>
      <w:r w:rsidRPr="00793FA8">
        <w:noBreakHyphen/>
      </w:r>
      <w:r w:rsidRPr="00793FA8">
        <w:t xml:space="preserve">Based Recruitment.” </w:t>
      </w:r>
      <w:r w:rsidRPr="00793FA8">
        <w:rPr>
          <w:i/>
          <w:iCs/>
        </w:rPr>
        <w:t>Harrier Talent Solutions Knowledge Centre</w:t>
      </w:r>
      <w:r w:rsidRPr="00793FA8">
        <w:t>, July 3, 2024. https://harriertalentsolutions.com/knowledge/the-advantages-of-values-based-recruitment.</w:t>
      </w:r>
    </w:p>
    <w:p w:rsidRPr="00CB1946" w:rsidR="00CB1946" w:rsidP="00CB1946" w:rsidRDefault="00CB1946" w14:paraId="06A107F7" w14:textId="77777777">
      <w:pPr>
        <w:pStyle w:val="NormalWeb"/>
        <w:spacing w:line="300" w:lineRule="atLeast"/>
      </w:pPr>
      <w:r w:rsidRPr="00CB1946">
        <w:t xml:space="preserve">House Committee on Appropriations. </w:t>
      </w:r>
      <w:r w:rsidRPr="00CB1946">
        <w:rPr>
          <w:rStyle w:val="Emphasis"/>
        </w:rPr>
        <w:t>Markup of the Defense Appropriations Bill, FY 2026</w:t>
      </w:r>
      <w:r w:rsidRPr="00CB1946">
        <w:t xml:space="preserve"> (Document HMKP 119 AP00 20250612 SD002). June 12, 2025. https://docs.house.gov/meetings/AP/AP00/20250612/118389/HMKP-119-AP00-20250612-SD002.pdf.</w:t>
      </w:r>
    </w:p>
    <w:p w:rsidR="00CB1946" w:rsidP="00CB1946" w:rsidRDefault="00CB1946" w14:paraId="6ABB55C3" w14:textId="747D9D6C">
      <w:pPr>
        <w:pStyle w:val="NormalWeb"/>
        <w:spacing w:line="300" w:lineRule="atLeast"/>
      </w:pPr>
      <w:r w:rsidRPr="00CB1946">
        <w:t xml:space="preserve">Military.com. Copp, Tara. “Army’s Long-Awaited New Pay and HR System Is Here.” </w:t>
      </w:r>
      <w:r w:rsidRPr="00CB1946">
        <w:rPr>
          <w:rStyle w:val="Emphasis"/>
        </w:rPr>
        <w:t>Military.com</w:t>
      </w:r>
      <w:r w:rsidRPr="00CB1946">
        <w:t xml:space="preserve">, January 17, 2023. </w:t>
      </w:r>
      <w:r w:rsidRPr="00B21ADB" w:rsidR="00B21ADB">
        <w:t>https://www.military.com/daily-news/2023/01/17/armys-long-awaited-new-pay-and-hr-system-here.html</w:t>
      </w:r>
      <w:r w:rsidRPr="00CB1946">
        <w:t>.</w:t>
      </w:r>
    </w:p>
    <w:p w:rsidRPr="00CB1946" w:rsidR="00B21ADB" w:rsidP="00B21ADB" w:rsidRDefault="00B21ADB" w14:paraId="0A15AFD6" w14:textId="47520AE3">
      <w:pPr>
        <w:pStyle w:val="NormalWeb"/>
      </w:pPr>
      <w:r w:rsidRPr="00B21ADB">
        <w:t xml:space="preserve">NASA. 2023. “OCE Technical Authority.” </w:t>
      </w:r>
      <w:r w:rsidRPr="00B21ADB">
        <w:rPr>
          <w:i/>
          <w:iCs/>
        </w:rPr>
        <w:t>NASA</w:t>
      </w:r>
      <w:r w:rsidRPr="00B21ADB">
        <w:t>. August 21, 2023. https://www.nasa.gov/technical-authority/.</w:t>
      </w:r>
    </w:p>
    <w:p w:rsidRPr="00CB1946" w:rsidR="00CB1946" w:rsidP="00CB1946" w:rsidRDefault="00CB1946" w14:paraId="2FD5FB2C" w14:textId="77777777">
      <w:pPr>
        <w:pStyle w:val="NormalWeb"/>
        <w:spacing w:line="300" w:lineRule="atLeast"/>
      </w:pPr>
      <w:r w:rsidRPr="00CB1946">
        <w:t xml:space="preserve">PBS NewsHour. Copp, Tara, and Associated Press. “Hegseth Directs Active-Duty Military to Cut 20% of Its Four-Star General Officers.” </w:t>
      </w:r>
      <w:r w:rsidRPr="00CB1946">
        <w:rPr>
          <w:rStyle w:val="Emphasis"/>
        </w:rPr>
        <w:t>PBS NewsHour</w:t>
      </w:r>
      <w:r w:rsidRPr="00CB1946">
        <w:t xml:space="preserve">, May 6, 2025. </w:t>
      </w:r>
      <w:r w:rsidRPr="00CB1946">
        <w:t>https://www.pbs.org/newshour/nation/hegseth-directs-active-duty-military-to-cut-20-of-its-four-star-general-officers.</w:t>
      </w:r>
    </w:p>
    <w:p w:rsidRPr="00CB1946" w:rsidR="00CB1946" w:rsidP="00CB1946" w:rsidRDefault="00CB1946" w14:paraId="3F119EF3" w14:textId="77777777">
      <w:pPr>
        <w:pStyle w:val="NormalWeb"/>
        <w:spacing w:line="300" w:lineRule="atLeast"/>
      </w:pPr>
      <w:r w:rsidRPr="00CB1946">
        <w:t>Pultarova, Tereza. “SpaceX Starlink Satellites Made 50,000 Collision</w:t>
      </w:r>
      <w:r w:rsidRPr="00CB1946">
        <w:noBreakHyphen/>
      </w:r>
      <w:r w:rsidRPr="00CB1946">
        <w:t xml:space="preserve">Avoidance Maneuvers in the Past 6 Months: What Does That Mean for Space Safety?” </w:t>
      </w:r>
      <w:r w:rsidRPr="00CB1946">
        <w:rPr>
          <w:rStyle w:val="Emphasis"/>
        </w:rPr>
        <w:t>Space.com</w:t>
      </w:r>
      <w:r w:rsidRPr="00CB1946">
        <w:t>, July 23, 2024. https://www.space.com/spacex-starlink-50000-collision-avoidance-maneuvers-space-safet.</w:t>
      </w:r>
    </w:p>
    <w:p w:rsidRPr="00CB1946" w:rsidR="00CB1946" w:rsidP="00CB1946" w:rsidRDefault="00CB1946" w14:paraId="220BB38F" w14:textId="77777777">
      <w:pPr>
        <w:pStyle w:val="NormalWeb"/>
        <w:spacing w:line="300" w:lineRule="atLeast"/>
      </w:pPr>
      <w:r w:rsidRPr="00CB1946">
        <w:t xml:space="preserve">RAND Corporation. Hanser, Lawrence M., Jennifer J. Li, and Chaitra M. Hardison. </w:t>
      </w:r>
      <w:r w:rsidRPr="00CB1946">
        <w:rPr>
          <w:rStyle w:val="Emphasis"/>
        </w:rPr>
        <w:t>Designing a New Framework for the U.S. Space Force Workforce</w:t>
      </w:r>
      <w:r w:rsidRPr="00CB1946">
        <w:t>. Perspectives PEA 575-2, June 1, 2023. Santa Monica, CA: RAND. https://www.rand.org/content/dam/rand/pubs/perspectives/PEA500/PEA575-2/RAND_PEA575-2.pdf.</w:t>
      </w:r>
    </w:p>
    <w:p w:rsidRPr="00CB1946" w:rsidR="00CB1946" w:rsidP="00CB1946" w:rsidRDefault="00CB1946" w14:paraId="35F44247" w14:textId="77777777">
      <w:pPr>
        <w:pStyle w:val="NormalWeb"/>
        <w:spacing w:line="300" w:lineRule="atLeast"/>
      </w:pPr>
      <w:r w:rsidRPr="00CB1946">
        <w:t xml:space="preserve">Romer, Robert, Emmi Yonekura, and Nelson Lim. </w:t>
      </w:r>
      <w:r w:rsidRPr="00CB1946">
        <w:rPr>
          <w:rStyle w:val="Emphasis"/>
        </w:rPr>
        <w:t>Rethinking Space Force Personnel Reform: A Pragmatic, Agile Path Forward</w:t>
      </w:r>
      <w:r w:rsidRPr="00CB1946">
        <w:t>. Santa Monica, CA: RAND Corporation, 2025. Expert Insights PE</w:t>
      </w:r>
      <w:r w:rsidRPr="00CB1946">
        <w:noBreakHyphen/>
      </w:r>
      <w:r w:rsidRPr="00CB1946">
        <w:t>A4019</w:t>
      </w:r>
      <w:r w:rsidRPr="00CB1946">
        <w:noBreakHyphen/>
      </w:r>
      <w:r w:rsidRPr="00CB1946">
        <w:t>1. PDF. https://www.rand.org/content/dam/rand/pubs/perspectives/PEA4000/PE-A4019-1/RAND_PEA4019-1.pdf.</w:t>
      </w:r>
    </w:p>
    <w:p w:rsidRPr="00CB1946" w:rsidR="00CB1946" w:rsidP="00CB1946" w:rsidRDefault="00CB1946" w14:paraId="769F62A6" w14:textId="77777777">
      <w:pPr>
        <w:pStyle w:val="NormalWeb"/>
        <w:spacing w:line="300" w:lineRule="atLeast"/>
      </w:pPr>
      <w:r w:rsidRPr="00CB1946">
        <w:t xml:space="preserve">Space Training and Readiness Command. “U.S. Space Force Releases New Capstone Doctrine.” </w:t>
      </w:r>
      <w:r w:rsidRPr="00CB1946">
        <w:rPr>
          <w:rStyle w:val="Emphasis"/>
        </w:rPr>
        <w:t>STARCOM News</w:t>
      </w:r>
      <w:r w:rsidRPr="00CB1946">
        <w:t>, April 4, 2025. https://www.starcom.spaceforce.mil/News/Article-Display/Article/4134288/us-space-force-releases-new-capstone-doctrine/.</w:t>
      </w:r>
    </w:p>
    <w:p w:rsidR="00CB1946" w:rsidP="00CB1946" w:rsidRDefault="00CB1946" w14:paraId="5B9877BC" w14:textId="53F7DFA6">
      <w:pPr>
        <w:pStyle w:val="NormalWeb"/>
        <w:spacing w:line="300" w:lineRule="atLeast"/>
      </w:pPr>
      <w:r w:rsidRPr="00CB1946">
        <w:t xml:space="preserve">U.S. Code. 10 U.S.C. § 2392. “Process for Strategic Basing Actions for the Department of the Air Force.” Enacted June 12, 2023. </w:t>
      </w:r>
      <w:hyperlink w:history="1" r:id="rId14">
        <w:r w:rsidRPr="00D006FC" w:rsidR="00F00115">
          <w:rPr>
            <w:rStyle w:val="Hyperlink"/>
          </w:rPr>
          <w:t>https://www.law.cornell.edu/uscode/text/10/2392</w:t>
        </w:r>
      </w:hyperlink>
      <w:r w:rsidRPr="00CB1946">
        <w:t>.</w:t>
      </w:r>
    </w:p>
    <w:p w:rsidRPr="00CB1946" w:rsidR="00F00115" w:rsidP="00F00115" w:rsidRDefault="00F00115" w14:paraId="3565D5E8" w14:textId="028C9A0D">
      <w:pPr>
        <w:pStyle w:val="NormalWeb"/>
      </w:pPr>
      <w:r w:rsidRPr="00F00115">
        <w:t xml:space="preserve">U.S. Government Accountability Office. </w:t>
      </w:r>
      <w:r w:rsidRPr="00F00115">
        <w:rPr>
          <w:i/>
          <w:iCs/>
        </w:rPr>
        <w:t>IT Systems Annual Assessment: DOD Needs to Improve Performance Reporting and Cybersecurity Planning</w:t>
      </w:r>
      <w:r w:rsidRPr="00F00115">
        <w:t>, GAO</w:t>
      </w:r>
      <w:r w:rsidRPr="00F00115">
        <w:noBreakHyphen/>
      </w:r>
      <w:r w:rsidRPr="00F00115">
        <w:t>25</w:t>
      </w:r>
      <w:r w:rsidRPr="00F00115">
        <w:noBreakHyphen/>
      </w:r>
      <w:r w:rsidRPr="00F00115">
        <w:t>107649. Washington, DC: U.S. Government Accountability Office, June 12, 2025. https://www.gao.gov/assets/gao-25-107649.pdf.</w:t>
      </w:r>
    </w:p>
    <w:p w:rsidRPr="00CB1946" w:rsidR="00CB1946" w:rsidP="00CB1946" w:rsidRDefault="00CB1946" w14:paraId="033643D6" w14:textId="77777777">
      <w:pPr>
        <w:pStyle w:val="NormalWeb"/>
        <w:spacing w:line="300" w:lineRule="atLeast"/>
      </w:pPr>
      <w:r w:rsidRPr="00CB1946">
        <w:t xml:space="preserve">U.S. House of Representatives, Committee on Appropriations. </w:t>
      </w:r>
      <w:r w:rsidRPr="00CB1946">
        <w:rPr>
          <w:rStyle w:val="Emphasis"/>
        </w:rPr>
        <w:t>Department of Defense Appropriations Act, 2026: Full Committee Print</w:t>
      </w:r>
      <w:r w:rsidRPr="00CB1946">
        <w:t>. Report no. 119–XXX, 119th Cong., 1st sess., June 12, 2025. Washington, DC. https://docs.house.gov/meetings/AP/AP00/20250612/118389/HMKP-119-AP00-20250612-SD002.pdf.</w:t>
      </w:r>
    </w:p>
    <w:p w:rsidRPr="00CB1946" w:rsidR="00CB1946" w:rsidP="00CB1946" w:rsidRDefault="00CB1946" w14:paraId="53D528BB" w14:textId="77777777">
      <w:pPr>
        <w:pStyle w:val="NormalWeb"/>
        <w:spacing w:line="300" w:lineRule="atLeast"/>
      </w:pPr>
      <w:r w:rsidRPr="00CB1946">
        <w:t xml:space="preserve">U.S. Space Force / STARCOM. </w:t>
      </w:r>
      <w:r w:rsidRPr="00CB1946">
        <w:rPr>
          <w:rStyle w:val="Emphasis"/>
        </w:rPr>
        <w:t>Space Force Doctrine Document 1 – The Space Force</w:t>
      </w:r>
      <w:r w:rsidRPr="00CB1946">
        <w:t>. April 4, 2025. Colorado Springs, CO: Space Training and Readiness Command. https://www.starcom.spaceforce.mil/Portals/2/Space%20Force%20Doctrine%20Document%201%20FINAL_4Apr25.pdf.</w:t>
      </w:r>
    </w:p>
    <w:p w:rsidRPr="00CB1946" w:rsidR="00CB1946" w:rsidP="00CB1946" w:rsidRDefault="00CB1946" w14:paraId="33886C6C" w14:textId="77777777">
      <w:pPr>
        <w:pStyle w:val="NormalWeb"/>
        <w:spacing w:line="300" w:lineRule="atLeast"/>
      </w:pPr>
      <w:r w:rsidRPr="00CB1946">
        <w:t xml:space="preserve">United States Space Force. </w:t>
      </w:r>
      <w:r w:rsidRPr="00CB1946">
        <w:rPr>
          <w:rStyle w:val="Emphasis"/>
        </w:rPr>
        <w:t>Space Force Vector 2025</w:t>
      </w:r>
      <w:r w:rsidRPr="00CB1946">
        <w:t xml:space="preserve">. Arlington, VA: U.S. Space Force, November 14, 2025. PDF. </w:t>
      </w:r>
      <w:r w:rsidRPr="00CB1946">
        <w:t>https://www.spaceforce.mil/Portals/2/Documents/SAF_2025/Space_Force_Vector_13_Nov_25.pdf.</w:t>
      </w:r>
    </w:p>
    <w:p w:rsidR="005F11B2" w:rsidP="00CB1946" w:rsidRDefault="005F11B2" w14:paraId="6B39472C" w14:textId="41613E00">
      <w:pPr>
        <w:sectPr w:rsidR="005F11B2" w:rsidSect="009A5DC6">
          <w:pgSz w:w="12240" w:h="15840" w:orient="portrait"/>
          <w:pgMar w:top="1440" w:right="1440" w:bottom="1440" w:left="1440" w:header="720" w:footer="720" w:gutter="0"/>
          <w:cols w:space="720"/>
          <w:docGrid w:linePitch="360"/>
        </w:sectPr>
      </w:pPr>
    </w:p>
    <w:bookmarkStart w:name="_Toc224562635" w:id="36"/>
    <w:p w:rsidR="009A5DC6" w:rsidP="0095042F" w:rsidRDefault="0095042F" w14:paraId="0F6C49DD" w14:textId="7662E49F">
      <w:pPr>
        <w:pStyle w:val="Heading1"/>
        <w:jc w:val="center"/>
      </w:pPr>
      <w:r w:rsidRPr="0095042F">
        <w:rPr>
          <w:rFonts w:ascii="Times New Roman" w:hAnsi="Times New Roman"/>
          <w:noProof/>
          <w:sz w:val="24"/>
          <w:szCs w:val="24"/>
        </w:rPr>
        <mc:AlternateContent>
          <mc:Choice Requires="wps">
            <w:drawing>
              <wp:anchor distT="45720" distB="45720" distL="114300" distR="114300" simplePos="0" relativeHeight="251660316" behindDoc="0" locked="0" layoutInCell="1" allowOverlap="1" wp14:anchorId="74AE7AF7" wp14:editId="3AB6EADE">
                <wp:simplePos x="0" y="0"/>
                <wp:positionH relativeFrom="column">
                  <wp:posOffset>171450</wp:posOffset>
                </wp:positionH>
                <wp:positionV relativeFrom="paragraph">
                  <wp:posOffset>-200025</wp:posOffset>
                </wp:positionV>
                <wp:extent cx="1714500" cy="6762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76275"/>
                        </a:xfrm>
                        <a:prstGeom prst="rect">
                          <a:avLst/>
                        </a:prstGeom>
                        <a:solidFill>
                          <a:srgbClr val="FFFFFF"/>
                        </a:solidFill>
                        <a:ln w="9525">
                          <a:solidFill>
                            <a:srgbClr val="000000"/>
                          </a:solidFill>
                          <a:miter lim="800000"/>
                          <a:headEnd/>
                          <a:tailEnd/>
                        </a:ln>
                      </wps:spPr>
                      <wps:txbx>
                        <w:txbxContent>
                          <w:p w:rsidRPr="00CB1946" w:rsidR="009A5DC6" w:rsidP="00F278ED" w:rsidRDefault="009A5DC6" w14:paraId="5A6575F3" w14:textId="1D92B0DE">
                            <w:pPr>
                              <w:pStyle w:val="Heading3"/>
                              <w:rPr>
                                <w:rFonts w:ascii="Times New Roman" w:hAnsi="Times New Roman"/>
                              </w:rPr>
                            </w:pPr>
                            <w:bookmarkStart w:name="_Toc224562636" w:id="37"/>
                            <w:r w:rsidRPr="00CB1946">
                              <w:rPr>
                                <w:rFonts w:ascii="Times New Roman" w:hAnsi="Times New Roman"/>
                              </w:rPr>
                              <w:t xml:space="preserve">Appendix </w:t>
                            </w:r>
                            <w:r w:rsidRPr="00CB1946" w:rsidR="00F278ED">
                              <w:rPr>
                                <w:rFonts w:ascii="Times New Roman" w:hAnsi="Times New Roman"/>
                              </w:rPr>
                              <w:t>A – Current Space Force Structure</w:t>
                            </w:r>
                            <w:bookmarkEnd w:id="3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D4D9BF2">
              <v:shapetype id="_x0000_t202" coordsize="21600,21600" o:spt="202" path="m,l,21600r21600,l21600,xe" w14:anchorId="74AE7AF7">
                <v:stroke joinstyle="miter"/>
                <v:path gradientshapeok="t" o:connecttype="rect"/>
              </v:shapetype>
              <v:shape id="Text Box 2" style="position:absolute;left:0;text-align:left;margin-left:13.5pt;margin-top:-15.75pt;width:135pt;height:53.25pt;z-index:2516603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pyDwIAAB8EAAAOAAAAZHJzL2Uyb0RvYy54bWysU9tu2zAMfR+wfxD0vtgJcmmNOEWXLsOA&#10;7gJ0+wBFlmNhsqhRSuzu60fJbprdXob5QRBN6pA8PFzf9K1hJ4Vegy35dJJzpqyESttDyb983r26&#10;4swHYSthwKqSPyrPbzYvX6w7V6gZNGAqhYxArC86V/ImBFdkmZeNaoWfgFOWnDVgKwKZeMgqFB2h&#10;tyab5fky6wArhyCV9/T3bnDyTcKvayXDx7r2KjBTcqotpBPTuY9ntlmL4oDCNVqOZYh/qKIV2lLS&#10;M9SdCIIdUf8G1WqJ4KEOEwltBnWtpUo9UDfT/JduHhrhVOqFyPHuTJP/f7Dyw+nBfUIW+tfQ0wBT&#10;E97dg/zqmYVtI+xB3SJC1yhRUeJppCzrnC/Gp5FqX/gIsu/eQ0VDFscACaivsY2sUJ+M0GkAj2fS&#10;VR+YjClX0/kiJ5ck33K1nK0WKYUonl479OGtgpbFS8mRhprQxeneh1iNKJ5CYjIPRlc7bUwy8LDf&#10;GmQnQQLYpW9E/ynMWNaV/HoxWwwE/BUiT9+fIFodSMlGtyW/OgeJItL2xlZJZ0FoM9ypZGNHHiN1&#10;A4mh3/cUGPncQ/VIjCIMiqUNo0sD+J2zjtRacv/tKFBxZt5Zmsr1dD6P8k7GfLGakYGXnv2lR1hJ&#10;UCUPnA3XbUgrEQmzcEvTq3Ui9rmSsVZSYeJ73Jgo80s7RT3v9eYHAAAA//8DAFBLAwQUAAYACAAA&#10;ACEANF+nLuAAAAAJAQAADwAAAGRycy9kb3ducmV2LnhtbEyPwU7DMBBE70j8g7VIXFDrNKVNG7Kp&#10;EBKI3qAguLrxNomw1yF20/D3uCc4zs5o9k2xGa0RA/W+dYwwmyYgiCunW64R3t8eJysQPijWyjgm&#10;hB/ysCkvLwqVa3fiVxp2oRaxhH2uEJoQulxKXzVklZ+6jjh6B9dbFaLsa6l7dYrl1sg0SZbSqpbj&#10;h0Z19NBQ9bU7WoTV7fPw6bfzl49qeTDrcJMNT9894vXVeH8HItAY/sJwxo/oUEamvTuy9sIgpFmc&#10;EhAm89kCRAyk6/Nlj5AtEpBlIf8vKH8BAAD//wMAUEsBAi0AFAAGAAgAAAAhALaDOJL+AAAA4QEA&#10;ABMAAAAAAAAAAAAAAAAAAAAAAFtDb250ZW50X1R5cGVzXS54bWxQSwECLQAUAAYACAAAACEAOP0h&#10;/9YAAACUAQAACwAAAAAAAAAAAAAAAAAvAQAAX3JlbHMvLnJlbHNQSwECLQAUAAYACAAAACEASWd6&#10;cg8CAAAfBAAADgAAAAAAAAAAAAAAAAAuAgAAZHJzL2Uyb0RvYy54bWxQSwECLQAUAAYACAAAACEA&#10;NF+nLuAAAAAJAQAADwAAAAAAAAAAAAAAAABpBAAAZHJzL2Rvd25yZXYueG1sUEsFBgAAAAAEAAQA&#10;8wAAAHYFAAAAAA==&#10;">
                <v:textbox>
                  <w:txbxContent>
                    <w:p w:rsidRPr="00CB1946" w:rsidR="009A5DC6" w:rsidP="00F278ED" w:rsidRDefault="009A5DC6" w14:paraId="07AE011C" w14:textId="1D92B0DE">
                      <w:pPr>
                        <w:pStyle w:val="Heading3"/>
                        <w:rPr>
                          <w:rFonts w:ascii="Times New Roman" w:hAnsi="Times New Roman"/>
                        </w:rPr>
                      </w:pPr>
                      <w:r w:rsidRPr="00CB1946">
                        <w:rPr>
                          <w:rFonts w:ascii="Times New Roman" w:hAnsi="Times New Roman"/>
                        </w:rPr>
                        <w:t xml:space="preserve">Appendix </w:t>
                      </w:r>
                      <w:r w:rsidRPr="00CB1946" w:rsidR="00F278ED">
                        <w:rPr>
                          <w:rFonts w:ascii="Times New Roman" w:hAnsi="Times New Roman"/>
                        </w:rPr>
                        <w:t>A – Current Space Force Structure</w:t>
                      </w:r>
                    </w:p>
                  </w:txbxContent>
                </v:textbox>
              </v:shape>
            </w:pict>
          </mc:Fallback>
        </mc:AlternateContent>
      </w:r>
      <w:r w:rsidRPr="0095042F">
        <w:rPr>
          <w:rFonts w:ascii="Times New Roman" w:hAnsi="Times New Roman"/>
          <w:noProof/>
          <w:sz w:val="24"/>
          <w:szCs w:val="24"/>
        </w:rPr>
        <w:drawing>
          <wp:anchor distT="0" distB="0" distL="114300" distR="114300" simplePos="0" relativeHeight="251663388" behindDoc="0" locked="0" layoutInCell="1" allowOverlap="1" wp14:anchorId="59D25B1B" wp14:editId="0EA428AC">
            <wp:simplePos x="0" y="0"/>
            <wp:positionH relativeFrom="column">
              <wp:posOffset>171450</wp:posOffset>
            </wp:positionH>
            <wp:positionV relativeFrom="paragraph">
              <wp:posOffset>377825</wp:posOffset>
            </wp:positionV>
            <wp:extent cx="8171815" cy="5562600"/>
            <wp:effectExtent l="0" t="0" r="635" b="0"/>
            <wp:wrapTopAndBottom/>
            <wp:docPr id="1909137770"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37770" name="Picture 1" descr="A screenshot of a video gam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8171815" cy="5562600"/>
                    </a:xfrm>
                    <a:prstGeom prst="rect">
                      <a:avLst/>
                    </a:prstGeom>
                  </pic:spPr>
                </pic:pic>
              </a:graphicData>
            </a:graphic>
            <wp14:sizeRelH relativeFrom="margin">
              <wp14:pctWidth>0</wp14:pctWidth>
            </wp14:sizeRelH>
            <wp14:sizeRelV relativeFrom="margin">
              <wp14:pctHeight>0</wp14:pctHeight>
            </wp14:sizeRelV>
          </wp:anchor>
        </w:drawing>
      </w:r>
      <w:r w:rsidRPr="0095042F">
        <w:rPr>
          <w:rFonts w:ascii="Times New Roman" w:hAnsi="Times New Roman"/>
          <w:sz w:val="24"/>
          <w:szCs w:val="24"/>
        </w:rPr>
        <w:t>Appendices</w:t>
      </w:r>
      <w:bookmarkEnd w:id="36"/>
    </w:p>
    <w:p w:rsidR="009A5DC6" w:rsidP="009A5DC6" w:rsidRDefault="009A5DC6" w14:paraId="485A65E5" w14:textId="5E10B6B7">
      <w:pPr>
        <w:sectPr w:rsidR="009A5DC6" w:rsidSect="009A5DC6">
          <w:headerReference w:type="default" r:id="rId16"/>
          <w:pgSz w:w="15840" w:h="12240" w:orient="landscape"/>
          <w:pgMar w:top="1440" w:right="1440" w:bottom="1440" w:left="1440" w:header="720" w:footer="720" w:gutter="0"/>
          <w:cols w:space="720"/>
          <w:docGrid w:linePitch="360"/>
        </w:sectPr>
      </w:pPr>
      <w:r>
        <w:rPr>
          <w:noProof/>
        </w:rPr>
        <mc:AlternateContent>
          <mc:Choice Requires="wps">
            <w:drawing>
              <wp:anchor distT="45720" distB="45720" distL="114300" distR="114300" simplePos="0" relativeHeight="251661340" behindDoc="0" locked="0" layoutInCell="1" allowOverlap="1" wp14:anchorId="2EC40642" wp14:editId="496D3A0E">
                <wp:simplePos x="0" y="0"/>
                <wp:positionH relativeFrom="column">
                  <wp:posOffset>304800</wp:posOffset>
                </wp:positionH>
                <wp:positionV relativeFrom="paragraph">
                  <wp:posOffset>0</wp:posOffset>
                </wp:positionV>
                <wp:extent cx="1809750" cy="638175"/>
                <wp:effectExtent l="0" t="0" r="19050" b="28575"/>
                <wp:wrapNone/>
                <wp:docPr id="1586410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38175"/>
                        </a:xfrm>
                        <a:prstGeom prst="rect">
                          <a:avLst/>
                        </a:prstGeom>
                        <a:solidFill>
                          <a:srgbClr val="FFFFFF"/>
                        </a:solidFill>
                        <a:ln w="9525">
                          <a:solidFill>
                            <a:srgbClr val="000000"/>
                          </a:solidFill>
                          <a:miter lim="800000"/>
                          <a:headEnd/>
                          <a:tailEnd/>
                        </a:ln>
                      </wps:spPr>
                      <wps:txbx>
                        <w:txbxContent>
                          <w:p w:rsidRPr="00CB1946" w:rsidR="009A5DC6" w:rsidP="00F278ED" w:rsidRDefault="009A5DC6" w14:paraId="7A6BE6CC" w14:textId="37DD3BE9">
                            <w:pPr>
                              <w:pStyle w:val="Heading3"/>
                              <w:rPr>
                                <w:rFonts w:ascii="Times New Roman" w:hAnsi="Times New Roman"/>
                              </w:rPr>
                            </w:pPr>
                            <w:bookmarkStart w:name="_Toc224562637" w:id="38"/>
                            <w:r w:rsidRPr="00CB1946">
                              <w:rPr>
                                <w:rFonts w:ascii="Times New Roman" w:hAnsi="Times New Roman"/>
                              </w:rPr>
                              <w:t xml:space="preserve">Appendix </w:t>
                            </w:r>
                            <w:r w:rsidRPr="00CB1946" w:rsidR="00F278ED">
                              <w:rPr>
                                <w:rFonts w:ascii="Times New Roman" w:hAnsi="Times New Roman"/>
                              </w:rPr>
                              <w:t xml:space="preserve">B – Proposed </w:t>
                            </w:r>
                            <w:r w:rsidRPr="00CB1946" w:rsidR="00CB1946">
                              <w:rPr>
                                <w:rFonts w:ascii="Times New Roman" w:hAnsi="Times New Roman"/>
                              </w:rPr>
                              <w:t>Structure</w:t>
                            </w:r>
                            <w:bookmarkEnd w:id="3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B548A35">
              <v:shape id="_x0000_s1027" style="position:absolute;left:0;text-align:left;margin-left:24pt;margin-top:0;width:142.5pt;height:50.25pt;z-index:2516613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9lEgIAACYEAAAOAAAAZHJzL2Uyb0RvYy54bWysk9uO2yAQhu8r9R0Q942dNNlNrDirbbap&#10;Km0P0rYPgAHHqJihQGKnT78D9mbT001VXyDGA//MfDOsb/pWk6N0XoEp6XSSUyINB6HMvqRfv+xe&#10;LSnxgRnBNBhZ0pP09Gbz8sW6s4WcQQNaSEdQxPiisyVtQrBFlnneyJb5CVhp0FmDa1lA0+0z4ViH&#10;6q3OZnl+lXXghHXApff4925w0k3Sr2vJw6e69jIQXVLMLaTVpbWKa7ZZs2LvmG0UH9Ng/5BFy5TB&#10;oGepOxYYOTj1m1SruAMPdZhwaDOoa8VlqgGrmea/VPPQMCtTLQjH2zMm//9k+cfjg/3sSOjfQI8N&#10;TEV4ew/8mycGtg0ze3nrHHSNZAIDTyOyrLO+GK9G1L7wUaTqPoDAJrNDgCTU166NVLBOgurYgNMZ&#10;uuwD4THkMl9dL9DF0Xf1ejm9XqQQrHi6bZ0P7yS0JG5K6rCpSZ0d732I2bDi6UgM5kErsVNaJ8Pt&#10;q6125MhwAHbpG9V/OqYN6Uq6WswWA4C/SuTp+5NEqwJOslZtSZfnQ6yI2N4akeYsMKWHPaaszcgx&#10;ohsghr7qiRIj5Ii1AnFCsA6GwcWHhpsG3A9KOhzakvrvB+YkJfq9weaspvN5nPJkzBfXMzTcpae6&#10;9DDDUaqkgZJhuw3pZURuBm6xibVKfJ8zGVPGYUzYx4cTp/3STqeen/fmEQAA//8DAFBLAwQUAAYA&#10;CAAAACEA28W0ed0AAAAHAQAADwAAAGRycy9kb3ducmV2LnhtbEyPQU/DMAyF70j8h8hIXNCWQMco&#10;pemEkEDsBhuCa9Z6bUXilCTryr/HnOBi2XpPz98rV5OzYsQQe08aLucKBFLtm55aDW/bx1kOIiZD&#10;jbGeUMM3RlhVpyelKRp/pFccN6kVHEKxMBq6lIZCylh36Eyc+wGJtb0PziQ+QyubYI4c7qy8Umop&#10;nemJP3RmwIcO68/NwWnIF8/jR1xnL+/1cm9v08XN+PQVtD4/m+7vQCSc0p8ZfvEZHSpm2vkDNVFY&#10;DYucqyQNPFnNsoyXHduUugZZlfI/f/UDAAD//wMAUEsBAi0AFAAGAAgAAAAhALaDOJL+AAAA4QEA&#10;ABMAAAAAAAAAAAAAAAAAAAAAAFtDb250ZW50X1R5cGVzXS54bWxQSwECLQAUAAYACAAAACEAOP0h&#10;/9YAAACUAQAACwAAAAAAAAAAAAAAAAAvAQAAX3JlbHMvLnJlbHNQSwECLQAUAAYACAAAACEAXyMf&#10;ZRICAAAmBAAADgAAAAAAAAAAAAAAAAAuAgAAZHJzL2Uyb0RvYy54bWxQSwECLQAUAAYACAAAACEA&#10;28W0ed0AAAAHAQAADwAAAAAAAAAAAAAAAABsBAAAZHJzL2Rvd25yZXYueG1sUEsFBgAAAAAEAAQA&#10;8wAAAHYFAAAAAA==&#10;" w14:anchorId="2EC40642">
                <v:textbox>
                  <w:txbxContent>
                    <w:p w:rsidRPr="00CB1946" w:rsidR="009A5DC6" w:rsidP="00F278ED" w:rsidRDefault="009A5DC6" w14:paraId="0D0CFF18" w14:textId="37DD3BE9">
                      <w:pPr>
                        <w:pStyle w:val="Heading3"/>
                        <w:rPr>
                          <w:rFonts w:ascii="Times New Roman" w:hAnsi="Times New Roman"/>
                        </w:rPr>
                      </w:pPr>
                      <w:r w:rsidRPr="00CB1946">
                        <w:rPr>
                          <w:rFonts w:ascii="Times New Roman" w:hAnsi="Times New Roman"/>
                        </w:rPr>
                        <w:t xml:space="preserve">Appendix </w:t>
                      </w:r>
                      <w:r w:rsidRPr="00CB1946" w:rsidR="00F278ED">
                        <w:rPr>
                          <w:rFonts w:ascii="Times New Roman" w:hAnsi="Times New Roman"/>
                        </w:rPr>
                        <w:t xml:space="preserve">B – Proposed </w:t>
                      </w:r>
                      <w:r w:rsidRPr="00CB1946" w:rsidR="00CB1946">
                        <w:rPr>
                          <w:rFonts w:ascii="Times New Roman" w:hAnsi="Times New Roman"/>
                        </w:rPr>
                        <w:t>Structure</w:t>
                      </w:r>
                    </w:p>
                  </w:txbxContent>
                </v:textbox>
              </v:shape>
            </w:pict>
          </mc:Fallback>
        </mc:AlternateContent>
      </w:r>
      <w:r>
        <w:rPr>
          <w:noProof/>
        </w:rPr>
        <w:drawing>
          <wp:inline distT="0" distB="0" distL="0" distR="0" wp14:anchorId="39192D89" wp14:editId="15F4AD46">
            <wp:extent cx="8229600" cy="4684395"/>
            <wp:effectExtent l="0" t="0" r="0" b="1905"/>
            <wp:docPr id="5955664" name="Picture 1" descr="Source: 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rce: Auth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9600" cy="4684395"/>
                    </a:xfrm>
                    <a:prstGeom prst="rect">
                      <a:avLst/>
                    </a:prstGeom>
                    <a:noFill/>
                    <a:ln>
                      <a:noFill/>
                    </a:ln>
                  </pic:spPr>
                </pic:pic>
              </a:graphicData>
            </a:graphic>
          </wp:inline>
        </w:drawing>
      </w:r>
    </w:p>
    <w:tbl>
      <w:tblPr>
        <w:tblW w:w="8980" w:type="dxa"/>
        <w:tblLayout w:type="fixed"/>
        <w:tblLook w:val="04A0" w:firstRow="1" w:lastRow="0" w:firstColumn="1" w:lastColumn="0" w:noHBand="0" w:noVBand="1"/>
      </w:tblPr>
      <w:tblGrid>
        <w:gridCol w:w="1520"/>
        <w:gridCol w:w="990"/>
        <w:gridCol w:w="1350"/>
        <w:gridCol w:w="3780"/>
        <w:gridCol w:w="1340"/>
      </w:tblGrid>
      <w:tr w:rsidRPr="00A863D4" w:rsidR="009A5DC6" w:rsidTr="00B47B9B" w14:paraId="38D2907D" w14:textId="77777777">
        <w:trPr>
          <w:trHeight w:val="960"/>
        </w:trPr>
        <w:tc>
          <w:tcPr>
            <w:tcW w:w="1520" w:type="dxa"/>
            <w:tcBorders>
              <w:top w:val="single" w:color="000000" w:sz="8" w:space="0"/>
              <w:left w:val="single" w:color="000000" w:sz="8" w:space="0"/>
              <w:bottom w:val="single" w:color="000000" w:sz="8" w:space="0"/>
              <w:right w:val="single" w:color="000000" w:sz="8" w:space="0"/>
            </w:tcBorders>
            <w:shd w:val="clear" w:color="000000" w:fill="FFFFFF"/>
            <w:vAlign w:val="center"/>
            <w:hideMark/>
          </w:tcPr>
          <w:p w:rsidRPr="00A863D4" w:rsidR="009A5DC6" w:rsidP="00B47B9B" w:rsidRDefault="009A5DC6" w14:paraId="4F03EE63" w14:textId="77777777">
            <w:pPr>
              <w:rPr>
                <w:b/>
                <w:bCs/>
                <w:color w:val="132935"/>
              </w:rPr>
            </w:pPr>
            <w:r>
              <w:rPr>
                <w:b/>
                <w:bCs/>
                <w:color w:val="132935"/>
              </w:rPr>
              <w:t>C</w:t>
            </w:r>
            <w:r w:rsidRPr="00A863D4">
              <w:rPr>
                <w:b/>
                <w:bCs/>
                <w:color w:val="132935"/>
              </w:rPr>
              <w:t>ategory</w:t>
            </w:r>
          </w:p>
        </w:tc>
        <w:tc>
          <w:tcPr>
            <w:tcW w:w="990" w:type="dxa"/>
            <w:tcBorders>
              <w:top w:val="single" w:color="000000" w:sz="8" w:space="0"/>
              <w:left w:val="nil"/>
              <w:bottom w:val="single" w:color="000000" w:sz="8" w:space="0"/>
              <w:right w:val="single" w:color="000000" w:sz="8" w:space="0"/>
            </w:tcBorders>
            <w:shd w:val="clear" w:color="000000" w:fill="FFFFFF"/>
            <w:vAlign w:val="center"/>
            <w:hideMark/>
          </w:tcPr>
          <w:p w:rsidRPr="00A863D4" w:rsidR="009A5DC6" w:rsidP="00B47B9B" w:rsidRDefault="009A5DC6" w14:paraId="64DD30E4" w14:textId="77777777">
            <w:pPr>
              <w:rPr>
                <w:b/>
                <w:bCs/>
                <w:color w:val="132935"/>
              </w:rPr>
            </w:pPr>
            <w:r w:rsidRPr="00A863D4">
              <w:rPr>
                <w:b/>
                <w:bCs/>
                <w:color w:val="132935"/>
              </w:rPr>
              <w:t>Grade</w:t>
            </w:r>
          </w:p>
        </w:tc>
        <w:tc>
          <w:tcPr>
            <w:tcW w:w="1350" w:type="dxa"/>
            <w:tcBorders>
              <w:top w:val="single" w:color="000000" w:sz="8" w:space="0"/>
              <w:left w:val="nil"/>
              <w:bottom w:val="single" w:color="000000" w:sz="8" w:space="0"/>
              <w:right w:val="single" w:color="000000" w:sz="8" w:space="0"/>
            </w:tcBorders>
            <w:shd w:val="clear" w:color="000000" w:fill="FFFFFF"/>
            <w:vAlign w:val="center"/>
            <w:hideMark/>
          </w:tcPr>
          <w:p w:rsidRPr="00A863D4" w:rsidR="009A5DC6" w:rsidP="00B47B9B" w:rsidRDefault="009A5DC6" w14:paraId="14A98E5F" w14:textId="77777777">
            <w:pPr>
              <w:rPr>
                <w:b/>
                <w:bCs/>
                <w:color w:val="132935"/>
              </w:rPr>
            </w:pPr>
            <w:r w:rsidRPr="00A863D4">
              <w:rPr>
                <w:b/>
                <w:bCs/>
                <w:color w:val="132935"/>
              </w:rPr>
              <w:t>Rank</w:t>
            </w:r>
          </w:p>
        </w:tc>
        <w:tc>
          <w:tcPr>
            <w:tcW w:w="3780" w:type="dxa"/>
            <w:tcBorders>
              <w:top w:val="single" w:color="000000" w:sz="8" w:space="0"/>
              <w:left w:val="nil"/>
              <w:bottom w:val="single" w:color="000000" w:sz="8" w:space="0"/>
              <w:right w:val="single" w:color="000000" w:sz="8" w:space="0"/>
            </w:tcBorders>
            <w:shd w:val="clear" w:color="000000" w:fill="FFFFFF"/>
            <w:vAlign w:val="center"/>
            <w:hideMark/>
          </w:tcPr>
          <w:p w:rsidRPr="00A863D4" w:rsidR="009A5DC6" w:rsidP="00B47B9B" w:rsidRDefault="009A5DC6" w14:paraId="47C7896F" w14:textId="77777777">
            <w:pPr>
              <w:rPr>
                <w:b/>
                <w:bCs/>
                <w:color w:val="132935"/>
              </w:rPr>
            </w:pPr>
            <w:r w:rsidRPr="00A863D4">
              <w:rPr>
                <w:b/>
                <w:bCs/>
                <w:color w:val="132935"/>
              </w:rPr>
              <w:t>Education and Experience Guidelines</w:t>
            </w:r>
          </w:p>
        </w:tc>
        <w:tc>
          <w:tcPr>
            <w:tcW w:w="1340" w:type="dxa"/>
            <w:tcBorders>
              <w:top w:val="single" w:color="000000" w:sz="8" w:space="0"/>
              <w:left w:val="nil"/>
              <w:bottom w:val="single" w:color="000000" w:sz="8" w:space="0"/>
              <w:right w:val="single" w:color="000000" w:sz="8" w:space="0"/>
            </w:tcBorders>
            <w:shd w:val="clear" w:color="000000" w:fill="FFFFFF"/>
            <w:vAlign w:val="center"/>
            <w:hideMark/>
          </w:tcPr>
          <w:p w:rsidRPr="00A863D4" w:rsidR="009A5DC6" w:rsidP="00B47B9B" w:rsidRDefault="009A5DC6" w14:paraId="4CF046A2" w14:textId="77777777">
            <w:pPr>
              <w:rPr>
                <w:b/>
                <w:bCs/>
                <w:color w:val="132935"/>
              </w:rPr>
            </w:pPr>
            <w:r w:rsidRPr="00A863D4">
              <w:rPr>
                <w:b/>
                <w:bCs/>
                <w:color w:val="132935"/>
              </w:rPr>
              <w:t>Equivalent Legacy Rank(s)</w:t>
            </w:r>
          </w:p>
        </w:tc>
      </w:tr>
      <w:tr w:rsidRPr="00A863D4" w:rsidR="009A5DC6" w:rsidTr="00B47B9B" w14:paraId="23724975" w14:textId="77777777">
        <w:trPr>
          <w:trHeight w:val="628"/>
        </w:trPr>
        <w:tc>
          <w:tcPr>
            <w:tcW w:w="1520" w:type="dxa"/>
            <w:vMerge w:val="restart"/>
            <w:tcBorders>
              <w:top w:val="nil"/>
              <w:left w:val="single" w:color="000000" w:sz="8" w:space="0"/>
              <w:bottom w:val="single" w:color="000000" w:sz="8" w:space="0"/>
              <w:right w:val="single" w:color="000000" w:sz="8" w:space="0"/>
            </w:tcBorders>
            <w:shd w:val="clear" w:color="000000" w:fill="FFFFFF"/>
            <w:vAlign w:val="center"/>
            <w:hideMark/>
          </w:tcPr>
          <w:p w:rsidRPr="00A863D4" w:rsidR="009A5DC6" w:rsidP="00B47B9B" w:rsidRDefault="009A5DC6" w14:paraId="00FDEADF" w14:textId="77777777">
            <w:pPr>
              <w:rPr>
                <w:b/>
                <w:bCs/>
                <w:color w:val="132935"/>
              </w:rPr>
            </w:pPr>
            <w:r w:rsidRPr="00A863D4">
              <w:rPr>
                <w:b/>
                <w:bCs/>
                <w:color w:val="132935"/>
              </w:rPr>
              <w:t>General Officer</w:t>
            </w:r>
          </w:p>
        </w:tc>
        <w:tc>
          <w:tcPr>
            <w:tcW w:w="99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28283039" w14:textId="77777777">
            <w:pPr>
              <w:rPr>
                <w:color w:val="132935"/>
              </w:rPr>
            </w:pPr>
            <w:r w:rsidRPr="00A863D4">
              <w:rPr>
                <w:color w:val="132935"/>
              </w:rPr>
              <w:t>G-10</w:t>
            </w:r>
          </w:p>
        </w:tc>
        <w:tc>
          <w:tcPr>
            <w:tcW w:w="135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28CED1ED" w14:textId="77777777">
            <w:pPr>
              <w:rPr>
                <w:color w:val="132935"/>
              </w:rPr>
            </w:pPr>
            <w:r w:rsidRPr="00A863D4">
              <w:rPr>
                <w:color w:val="132935"/>
              </w:rPr>
              <w:t>General</w:t>
            </w:r>
          </w:p>
        </w:tc>
        <w:tc>
          <w:tcPr>
            <w:tcW w:w="378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21584090" w14:textId="77777777">
            <w:pPr>
              <w:rPr>
                <w:color w:val="132935"/>
              </w:rPr>
            </w:pPr>
            <w:r w:rsidRPr="00A863D4">
              <w:rPr>
                <w:color w:val="132935"/>
              </w:rPr>
              <w:t>Advanced Degree and over 26 years of experience</w:t>
            </w:r>
          </w:p>
        </w:tc>
        <w:tc>
          <w:tcPr>
            <w:tcW w:w="134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51B18CC5" w14:textId="77777777">
            <w:pPr>
              <w:rPr>
                <w:color w:val="132935"/>
              </w:rPr>
            </w:pPr>
            <w:r w:rsidRPr="00A863D4">
              <w:rPr>
                <w:color w:val="132935"/>
              </w:rPr>
              <w:t>O-9/O-10</w:t>
            </w:r>
          </w:p>
        </w:tc>
      </w:tr>
      <w:tr w:rsidRPr="00A863D4" w:rsidR="009A5DC6" w:rsidTr="00B47B9B" w14:paraId="7C7F43C2" w14:textId="77777777">
        <w:trPr>
          <w:trHeight w:val="682"/>
        </w:trPr>
        <w:tc>
          <w:tcPr>
            <w:tcW w:w="1520" w:type="dxa"/>
            <w:vMerge/>
            <w:tcBorders>
              <w:top w:val="nil"/>
              <w:left w:val="single" w:color="000000" w:sz="8" w:space="0"/>
              <w:bottom w:val="single" w:color="000000" w:sz="8" w:space="0"/>
              <w:right w:val="single" w:color="000000" w:sz="8" w:space="0"/>
            </w:tcBorders>
            <w:vAlign w:val="center"/>
            <w:hideMark/>
          </w:tcPr>
          <w:p w:rsidRPr="00A863D4" w:rsidR="009A5DC6" w:rsidP="00B47B9B" w:rsidRDefault="009A5DC6" w14:paraId="7278CE3D" w14:textId="77777777">
            <w:pPr>
              <w:rPr>
                <w:b/>
                <w:bCs/>
                <w:color w:val="132935"/>
              </w:rPr>
            </w:pPr>
          </w:p>
        </w:tc>
        <w:tc>
          <w:tcPr>
            <w:tcW w:w="99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1F8CF7F8" w14:textId="77777777">
            <w:pPr>
              <w:rPr>
                <w:color w:val="132935"/>
              </w:rPr>
            </w:pPr>
            <w:r w:rsidRPr="00A863D4">
              <w:rPr>
                <w:color w:val="132935"/>
              </w:rPr>
              <w:t>G-9</w:t>
            </w:r>
          </w:p>
        </w:tc>
        <w:tc>
          <w:tcPr>
            <w:tcW w:w="135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7E1197AB" w14:textId="77777777">
            <w:pPr>
              <w:rPr>
                <w:color w:val="132935"/>
              </w:rPr>
            </w:pPr>
            <w:r w:rsidRPr="00A863D4">
              <w:rPr>
                <w:color w:val="132935"/>
              </w:rPr>
              <w:t>Lieutenant General</w:t>
            </w:r>
          </w:p>
        </w:tc>
        <w:tc>
          <w:tcPr>
            <w:tcW w:w="378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03F46C44" w14:textId="77777777">
            <w:pPr>
              <w:rPr>
                <w:color w:val="132935"/>
              </w:rPr>
            </w:pPr>
            <w:r w:rsidRPr="00A863D4">
              <w:rPr>
                <w:color w:val="132935"/>
              </w:rPr>
              <w:t>Advanced Degree and over 22 years of experience</w:t>
            </w:r>
          </w:p>
        </w:tc>
        <w:tc>
          <w:tcPr>
            <w:tcW w:w="134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52EA2AF8" w14:textId="77777777">
            <w:pPr>
              <w:rPr>
                <w:color w:val="132935"/>
              </w:rPr>
            </w:pPr>
            <w:r w:rsidRPr="00A863D4">
              <w:rPr>
                <w:color w:val="132935"/>
              </w:rPr>
              <w:t>O-7/O-8</w:t>
            </w:r>
          </w:p>
        </w:tc>
      </w:tr>
      <w:tr w:rsidRPr="00A863D4" w:rsidR="009A5DC6" w:rsidTr="00B47B9B" w14:paraId="1B851F7A" w14:textId="77777777">
        <w:trPr>
          <w:trHeight w:val="727"/>
        </w:trPr>
        <w:tc>
          <w:tcPr>
            <w:tcW w:w="1520" w:type="dxa"/>
            <w:vMerge w:val="restart"/>
            <w:tcBorders>
              <w:top w:val="nil"/>
              <w:left w:val="single" w:color="000000" w:sz="8" w:space="0"/>
              <w:bottom w:val="single" w:color="000000" w:sz="8" w:space="0"/>
              <w:right w:val="single" w:color="000000" w:sz="8" w:space="0"/>
            </w:tcBorders>
            <w:shd w:val="clear" w:color="000000" w:fill="FFFFFF"/>
            <w:vAlign w:val="center"/>
            <w:hideMark/>
          </w:tcPr>
          <w:p w:rsidRPr="00A863D4" w:rsidR="009A5DC6" w:rsidP="00B47B9B" w:rsidRDefault="009A5DC6" w14:paraId="3957573F" w14:textId="77777777">
            <w:pPr>
              <w:rPr>
                <w:b/>
                <w:bCs/>
                <w:color w:val="132935"/>
              </w:rPr>
            </w:pPr>
            <w:r w:rsidRPr="00A863D4">
              <w:rPr>
                <w:b/>
                <w:bCs/>
                <w:color w:val="132935"/>
              </w:rPr>
              <w:t>Field Grade Officer</w:t>
            </w:r>
          </w:p>
        </w:tc>
        <w:tc>
          <w:tcPr>
            <w:tcW w:w="99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66BAE9C5" w14:textId="77777777">
            <w:pPr>
              <w:rPr>
                <w:color w:val="132935"/>
              </w:rPr>
            </w:pPr>
            <w:r w:rsidRPr="00A863D4">
              <w:rPr>
                <w:color w:val="132935"/>
              </w:rPr>
              <w:t>G-8</w:t>
            </w:r>
          </w:p>
        </w:tc>
        <w:tc>
          <w:tcPr>
            <w:tcW w:w="135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2BA71B43" w14:textId="77777777">
            <w:pPr>
              <w:rPr>
                <w:color w:val="132935"/>
              </w:rPr>
            </w:pPr>
            <w:r w:rsidRPr="00A863D4">
              <w:rPr>
                <w:color w:val="132935"/>
              </w:rPr>
              <w:t>Colonel</w:t>
            </w:r>
          </w:p>
        </w:tc>
        <w:tc>
          <w:tcPr>
            <w:tcW w:w="378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44CD9402" w14:textId="77777777">
            <w:pPr>
              <w:rPr>
                <w:color w:val="132935"/>
              </w:rPr>
            </w:pPr>
            <w:r w:rsidRPr="00A863D4">
              <w:rPr>
                <w:color w:val="132935"/>
              </w:rPr>
              <w:t>Advanced Degree and over 18 years of experience</w:t>
            </w:r>
          </w:p>
        </w:tc>
        <w:tc>
          <w:tcPr>
            <w:tcW w:w="134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1DB3F32F" w14:textId="77777777">
            <w:pPr>
              <w:rPr>
                <w:color w:val="132935"/>
              </w:rPr>
            </w:pPr>
            <w:r w:rsidRPr="00A863D4">
              <w:rPr>
                <w:color w:val="132935"/>
              </w:rPr>
              <w:t>O-6</w:t>
            </w:r>
          </w:p>
        </w:tc>
      </w:tr>
      <w:tr w:rsidRPr="00A863D4" w:rsidR="009A5DC6" w:rsidTr="00B47B9B" w14:paraId="08A2B855" w14:textId="77777777">
        <w:trPr>
          <w:trHeight w:val="772"/>
        </w:trPr>
        <w:tc>
          <w:tcPr>
            <w:tcW w:w="1520" w:type="dxa"/>
            <w:vMerge/>
            <w:tcBorders>
              <w:top w:val="nil"/>
              <w:left w:val="single" w:color="000000" w:sz="8" w:space="0"/>
              <w:bottom w:val="single" w:color="000000" w:sz="8" w:space="0"/>
              <w:right w:val="single" w:color="000000" w:sz="8" w:space="0"/>
            </w:tcBorders>
            <w:vAlign w:val="center"/>
            <w:hideMark/>
          </w:tcPr>
          <w:p w:rsidRPr="00A863D4" w:rsidR="009A5DC6" w:rsidP="00B47B9B" w:rsidRDefault="009A5DC6" w14:paraId="5D155725" w14:textId="77777777">
            <w:pPr>
              <w:rPr>
                <w:b/>
                <w:bCs/>
                <w:color w:val="132935"/>
              </w:rPr>
            </w:pPr>
          </w:p>
        </w:tc>
        <w:tc>
          <w:tcPr>
            <w:tcW w:w="99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16BD1FC1" w14:textId="77777777">
            <w:pPr>
              <w:rPr>
                <w:color w:val="132935"/>
              </w:rPr>
            </w:pPr>
            <w:r w:rsidRPr="00A863D4">
              <w:rPr>
                <w:color w:val="132935"/>
              </w:rPr>
              <w:t>G-7</w:t>
            </w:r>
          </w:p>
        </w:tc>
        <w:tc>
          <w:tcPr>
            <w:tcW w:w="135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7077E582" w14:textId="77777777">
            <w:pPr>
              <w:rPr>
                <w:color w:val="132935"/>
              </w:rPr>
            </w:pPr>
            <w:r w:rsidRPr="00A863D4">
              <w:rPr>
                <w:color w:val="132935"/>
              </w:rPr>
              <w:t>Lieutenant Colonel</w:t>
            </w:r>
          </w:p>
        </w:tc>
        <w:tc>
          <w:tcPr>
            <w:tcW w:w="378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42ACA77C" w14:textId="77777777">
            <w:pPr>
              <w:rPr>
                <w:color w:val="132935"/>
              </w:rPr>
            </w:pPr>
            <w:r w:rsidRPr="00A863D4">
              <w:rPr>
                <w:color w:val="132935"/>
              </w:rPr>
              <w:t>Advanced degree and over 12 years of experience or four-year degree and over 16 years of experience</w:t>
            </w:r>
          </w:p>
        </w:tc>
        <w:tc>
          <w:tcPr>
            <w:tcW w:w="134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74A2123E" w14:textId="77777777">
            <w:pPr>
              <w:rPr>
                <w:color w:val="132935"/>
              </w:rPr>
            </w:pPr>
            <w:r w:rsidRPr="00A863D4">
              <w:rPr>
                <w:color w:val="132935"/>
              </w:rPr>
              <w:t>O-5</w:t>
            </w:r>
          </w:p>
        </w:tc>
      </w:tr>
      <w:tr w:rsidRPr="00A863D4" w:rsidR="009A5DC6" w:rsidTr="00B47B9B" w14:paraId="43C0DDC3" w14:textId="77777777">
        <w:trPr>
          <w:trHeight w:val="817"/>
        </w:trPr>
        <w:tc>
          <w:tcPr>
            <w:tcW w:w="1520" w:type="dxa"/>
            <w:vMerge/>
            <w:tcBorders>
              <w:top w:val="nil"/>
              <w:left w:val="single" w:color="000000" w:sz="8" w:space="0"/>
              <w:bottom w:val="single" w:color="000000" w:sz="8" w:space="0"/>
              <w:right w:val="single" w:color="000000" w:sz="8" w:space="0"/>
            </w:tcBorders>
            <w:vAlign w:val="center"/>
            <w:hideMark/>
          </w:tcPr>
          <w:p w:rsidRPr="00A863D4" w:rsidR="009A5DC6" w:rsidP="00B47B9B" w:rsidRDefault="009A5DC6" w14:paraId="65864641" w14:textId="77777777">
            <w:pPr>
              <w:rPr>
                <w:b/>
                <w:bCs/>
                <w:color w:val="132935"/>
              </w:rPr>
            </w:pPr>
          </w:p>
        </w:tc>
        <w:tc>
          <w:tcPr>
            <w:tcW w:w="99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6B422059" w14:textId="77777777">
            <w:pPr>
              <w:rPr>
                <w:color w:val="132935"/>
              </w:rPr>
            </w:pPr>
            <w:r w:rsidRPr="00A863D4">
              <w:rPr>
                <w:color w:val="132935"/>
              </w:rPr>
              <w:t>G-6</w:t>
            </w:r>
          </w:p>
        </w:tc>
        <w:tc>
          <w:tcPr>
            <w:tcW w:w="135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62DFF662" w14:textId="77777777">
            <w:pPr>
              <w:rPr>
                <w:color w:val="132935"/>
              </w:rPr>
            </w:pPr>
            <w:r w:rsidRPr="00A863D4">
              <w:rPr>
                <w:color w:val="132935"/>
              </w:rPr>
              <w:t>Major</w:t>
            </w:r>
          </w:p>
        </w:tc>
        <w:tc>
          <w:tcPr>
            <w:tcW w:w="378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44FBF7C6" w14:textId="77777777">
            <w:pPr>
              <w:rPr>
                <w:color w:val="132935"/>
              </w:rPr>
            </w:pPr>
            <w:r w:rsidRPr="00A863D4">
              <w:rPr>
                <w:color w:val="132935"/>
              </w:rPr>
              <w:t>Advanced degree and over six years of experience or four-year degree and over 10 years of experience</w:t>
            </w:r>
          </w:p>
        </w:tc>
        <w:tc>
          <w:tcPr>
            <w:tcW w:w="134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115D4F88" w14:textId="77777777">
            <w:pPr>
              <w:rPr>
                <w:color w:val="132935"/>
              </w:rPr>
            </w:pPr>
            <w:r w:rsidRPr="00A863D4">
              <w:rPr>
                <w:color w:val="132935"/>
              </w:rPr>
              <w:t>O-4</w:t>
            </w:r>
          </w:p>
        </w:tc>
      </w:tr>
      <w:tr w:rsidRPr="00A863D4" w:rsidR="009A5DC6" w:rsidTr="00B47B9B" w14:paraId="40235A6B" w14:textId="77777777">
        <w:trPr>
          <w:trHeight w:val="1150"/>
        </w:trPr>
        <w:tc>
          <w:tcPr>
            <w:tcW w:w="1520" w:type="dxa"/>
            <w:vMerge w:val="restart"/>
            <w:tcBorders>
              <w:top w:val="nil"/>
              <w:left w:val="single" w:color="000000" w:sz="8" w:space="0"/>
              <w:bottom w:val="single" w:color="000000" w:sz="8" w:space="0"/>
              <w:right w:val="single" w:color="000000" w:sz="8" w:space="0"/>
            </w:tcBorders>
            <w:shd w:val="clear" w:color="000000" w:fill="FFFFFF"/>
            <w:vAlign w:val="center"/>
            <w:hideMark/>
          </w:tcPr>
          <w:p w:rsidRPr="00A863D4" w:rsidR="009A5DC6" w:rsidP="00B47B9B" w:rsidRDefault="009A5DC6" w14:paraId="59085502" w14:textId="77777777">
            <w:pPr>
              <w:rPr>
                <w:b/>
                <w:bCs/>
                <w:color w:val="132935"/>
              </w:rPr>
            </w:pPr>
            <w:r w:rsidRPr="00A863D4">
              <w:rPr>
                <w:b/>
                <w:bCs/>
                <w:color w:val="132935"/>
              </w:rPr>
              <w:t>Company Grade Officer</w:t>
            </w:r>
          </w:p>
        </w:tc>
        <w:tc>
          <w:tcPr>
            <w:tcW w:w="99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2FB21F65" w14:textId="77777777">
            <w:pPr>
              <w:rPr>
                <w:color w:val="132935"/>
              </w:rPr>
            </w:pPr>
            <w:r w:rsidRPr="00A863D4">
              <w:rPr>
                <w:color w:val="132935"/>
              </w:rPr>
              <w:t>G-5</w:t>
            </w:r>
          </w:p>
        </w:tc>
        <w:tc>
          <w:tcPr>
            <w:tcW w:w="135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5F6B2E38" w14:textId="77777777">
            <w:pPr>
              <w:rPr>
                <w:color w:val="132935"/>
              </w:rPr>
            </w:pPr>
            <w:r w:rsidRPr="00A863D4">
              <w:rPr>
                <w:color w:val="132935"/>
              </w:rPr>
              <w:t>Captain</w:t>
            </w:r>
          </w:p>
        </w:tc>
        <w:tc>
          <w:tcPr>
            <w:tcW w:w="378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2DD913F4" w14:textId="77777777">
            <w:pPr>
              <w:rPr>
                <w:color w:val="132935"/>
              </w:rPr>
            </w:pPr>
            <w:r w:rsidRPr="00A863D4">
              <w:rPr>
                <w:color w:val="132935"/>
              </w:rPr>
              <w:t>Advanced degree and no experience, four-year degree and over four years of experience, or two-year degree and over 12 years of experience</w:t>
            </w:r>
          </w:p>
        </w:tc>
        <w:tc>
          <w:tcPr>
            <w:tcW w:w="134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7BDF49E9" w14:textId="77777777">
            <w:pPr>
              <w:rPr>
                <w:color w:val="132935"/>
              </w:rPr>
            </w:pPr>
            <w:r w:rsidRPr="00A863D4">
              <w:rPr>
                <w:color w:val="132935"/>
              </w:rPr>
              <w:t>O-3</w:t>
            </w:r>
          </w:p>
        </w:tc>
      </w:tr>
      <w:tr w:rsidRPr="00A863D4" w:rsidR="009A5DC6" w:rsidTr="00B47B9B" w14:paraId="091DDB2C" w14:textId="77777777">
        <w:trPr>
          <w:trHeight w:val="1420"/>
        </w:trPr>
        <w:tc>
          <w:tcPr>
            <w:tcW w:w="1520" w:type="dxa"/>
            <w:vMerge/>
            <w:tcBorders>
              <w:top w:val="nil"/>
              <w:left w:val="single" w:color="000000" w:sz="8" w:space="0"/>
              <w:bottom w:val="single" w:color="000000" w:sz="8" w:space="0"/>
              <w:right w:val="single" w:color="000000" w:sz="8" w:space="0"/>
            </w:tcBorders>
            <w:vAlign w:val="center"/>
            <w:hideMark/>
          </w:tcPr>
          <w:p w:rsidRPr="00A863D4" w:rsidR="009A5DC6" w:rsidP="00B47B9B" w:rsidRDefault="009A5DC6" w14:paraId="27508E91" w14:textId="77777777">
            <w:pPr>
              <w:rPr>
                <w:b/>
                <w:bCs/>
                <w:color w:val="132935"/>
              </w:rPr>
            </w:pPr>
          </w:p>
        </w:tc>
        <w:tc>
          <w:tcPr>
            <w:tcW w:w="99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587A2665" w14:textId="77777777">
            <w:pPr>
              <w:rPr>
                <w:color w:val="132935"/>
              </w:rPr>
            </w:pPr>
            <w:r w:rsidRPr="00A863D4">
              <w:rPr>
                <w:color w:val="132935"/>
              </w:rPr>
              <w:t>G-4</w:t>
            </w:r>
          </w:p>
        </w:tc>
        <w:tc>
          <w:tcPr>
            <w:tcW w:w="135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611FC2BC" w14:textId="77777777">
            <w:pPr>
              <w:rPr>
                <w:color w:val="132935"/>
              </w:rPr>
            </w:pPr>
            <w:r w:rsidRPr="00A863D4">
              <w:rPr>
                <w:color w:val="132935"/>
              </w:rPr>
              <w:t>Lieutenant</w:t>
            </w:r>
          </w:p>
        </w:tc>
        <w:tc>
          <w:tcPr>
            <w:tcW w:w="378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1A7EA288" w14:textId="77777777">
            <w:pPr>
              <w:rPr>
                <w:color w:val="132935"/>
              </w:rPr>
            </w:pPr>
            <w:bookmarkStart w:name="_Hlk224040296" w:id="39"/>
            <w:r w:rsidRPr="00A863D4">
              <w:rPr>
                <w:color w:val="132935"/>
              </w:rPr>
              <w:t>Four-year degree and no experience, two-year degree and over six years of experience, or high school or General Education Development (GED) degree and over eight years of experience</w:t>
            </w:r>
            <w:bookmarkEnd w:id="39"/>
          </w:p>
        </w:tc>
        <w:tc>
          <w:tcPr>
            <w:tcW w:w="134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072DF508" w14:textId="77777777">
            <w:pPr>
              <w:rPr>
                <w:color w:val="132935"/>
              </w:rPr>
            </w:pPr>
            <w:r w:rsidRPr="00A863D4">
              <w:rPr>
                <w:color w:val="132935"/>
              </w:rPr>
              <w:t>O-1/O-2</w:t>
            </w:r>
          </w:p>
        </w:tc>
      </w:tr>
      <w:tr w:rsidRPr="00A863D4" w:rsidR="009A5DC6" w:rsidTr="00B47B9B" w14:paraId="4B71E7A4" w14:textId="77777777">
        <w:trPr>
          <w:trHeight w:val="1150"/>
        </w:trPr>
        <w:tc>
          <w:tcPr>
            <w:tcW w:w="1520" w:type="dxa"/>
            <w:tcBorders>
              <w:top w:val="nil"/>
              <w:left w:val="single" w:color="000000" w:sz="8" w:space="0"/>
              <w:bottom w:val="single" w:color="000000" w:sz="8" w:space="0"/>
              <w:right w:val="single" w:color="000000" w:sz="8" w:space="0"/>
            </w:tcBorders>
            <w:shd w:val="clear" w:color="000000" w:fill="FFFFFF"/>
            <w:vAlign w:val="center"/>
            <w:hideMark/>
          </w:tcPr>
          <w:p w:rsidRPr="00A863D4" w:rsidR="009A5DC6" w:rsidP="00B47B9B" w:rsidRDefault="009A5DC6" w14:paraId="596DE15A" w14:textId="77777777">
            <w:pPr>
              <w:rPr>
                <w:b/>
                <w:bCs/>
                <w:color w:val="132935"/>
              </w:rPr>
            </w:pPr>
            <w:r>
              <w:rPr>
                <w:b/>
                <w:bCs/>
                <w:color w:val="132935"/>
              </w:rPr>
              <w:t>NCO</w:t>
            </w:r>
          </w:p>
        </w:tc>
        <w:tc>
          <w:tcPr>
            <w:tcW w:w="99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676B26A4" w14:textId="77777777">
            <w:pPr>
              <w:rPr>
                <w:color w:val="132935"/>
              </w:rPr>
            </w:pPr>
            <w:r w:rsidRPr="00A863D4">
              <w:rPr>
                <w:color w:val="132935"/>
              </w:rPr>
              <w:t>G-3</w:t>
            </w:r>
          </w:p>
        </w:tc>
        <w:tc>
          <w:tcPr>
            <w:tcW w:w="135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14B63F77" w14:textId="77777777">
            <w:pPr>
              <w:rPr>
                <w:color w:val="132935"/>
              </w:rPr>
            </w:pPr>
            <w:r w:rsidRPr="00A863D4">
              <w:rPr>
                <w:color w:val="132935"/>
              </w:rPr>
              <w:t>Sergeant</w:t>
            </w:r>
          </w:p>
        </w:tc>
        <w:tc>
          <w:tcPr>
            <w:tcW w:w="378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2EAD8290" w14:textId="77777777">
            <w:pPr>
              <w:rPr>
                <w:color w:val="132935"/>
              </w:rPr>
            </w:pPr>
            <w:r w:rsidRPr="00A863D4">
              <w:rPr>
                <w:color w:val="132935"/>
              </w:rPr>
              <w:t>Two-year degree and two years of experience or high school or GED degree and over four years of experience</w:t>
            </w:r>
          </w:p>
        </w:tc>
        <w:tc>
          <w:tcPr>
            <w:tcW w:w="134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517688FB" w14:textId="77777777">
            <w:pPr>
              <w:rPr>
                <w:color w:val="132935"/>
              </w:rPr>
            </w:pPr>
            <w:r w:rsidRPr="00A863D4">
              <w:rPr>
                <w:color w:val="132935"/>
              </w:rPr>
              <w:t>E-5/E-6</w:t>
            </w:r>
          </w:p>
        </w:tc>
      </w:tr>
      <w:tr w:rsidRPr="00A863D4" w:rsidR="009A5DC6" w:rsidTr="00B47B9B" w14:paraId="7F9701AA" w14:textId="77777777">
        <w:trPr>
          <w:trHeight w:val="60"/>
        </w:trPr>
        <w:tc>
          <w:tcPr>
            <w:tcW w:w="1520" w:type="dxa"/>
            <w:vMerge w:val="restart"/>
            <w:tcBorders>
              <w:top w:val="nil"/>
              <w:left w:val="single" w:color="000000" w:sz="8" w:space="0"/>
              <w:bottom w:val="single" w:color="000000" w:sz="8" w:space="0"/>
              <w:right w:val="single" w:color="000000" w:sz="8" w:space="0"/>
            </w:tcBorders>
            <w:shd w:val="clear" w:color="000000" w:fill="FFFFFF"/>
            <w:vAlign w:val="center"/>
            <w:hideMark/>
          </w:tcPr>
          <w:p w:rsidRPr="00A863D4" w:rsidR="009A5DC6" w:rsidP="00B47B9B" w:rsidRDefault="009A5DC6" w14:paraId="6BD04BFA" w14:textId="77777777">
            <w:pPr>
              <w:rPr>
                <w:b/>
                <w:bCs/>
                <w:color w:val="132935"/>
              </w:rPr>
            </w:pPr>
            <w:r w:rsidRPr="00A863D4">
              <w:rPr>
                <w:b/>
                <w:bCs/>
                <w:color w:val="132935"/>
              </w:rPr>
              <w:t>Junior Enlisted</w:t>
            </w:r>
          </w:p>
        </w:tc>
        <w:tc>
          <w:tcPr>
            <w:tcW w:w="99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30FFA803" w14:textId="77777777">
            <w:pPr>
              <w:rPr>
                <w:color w:val="132935"/>
              </w:rPr>
            </w:pPr>
            <w:r w:rsidRPr="00A863D4">
              <w:rPr>
                <w:color w:val="132935"/>
              </w:rPr>
              <w:t>G-2</w:t>
            </w:r>
          </w:p>
        </w:tc>
        <w:tc>
          <w:tcPr>
            <w:tcW w:w="135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5ADD4E09" w14:textId="77777777">
            <w:pPr>
              <w:rPr>
                <w:color w:val="132935"/>
              </w:rPr>
            </w:pPr>
            <w:r w:rsidRPr="00A863D4">
              <w:rPr>
                <w:color w:val="132935"/>
              </w:rPr>
              <w:t>Specialist</w:t>
            </w:r>
          </w:p>
        </w:tc>
        <w:tc>
          <w:tcPr>
            <w:tcW w:w="378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77078C07" w14:textId="77777777">
            <w:pPr>
              <w:rPr>
                <w:color w:val="132935"/>
              </w:rPr>
            </w:pPr>
            <w:r w:rsidRPr="00A863D4">
              <w:rPr>
                <w:color w:val="132935"/>
              </w:rPr>
              <w:t>Two-year degree and no experience or high school or GED degree and over two years of experience </w:t>
            </w:r>
          </w:p>
        </w:tc>
        <w:tc>
          <w:tcPr>
            <w:tcW w:w="134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7793E3CC" w14:textId="77777777">
            <w:pPr>
              <w:rPr>
                <w:color w:val="132935"/>
              </w:rPr>
            </w:pPr>
            <w:r w:rsidRPr="00A863D4">
              <w:rPr>
                <w:color w:val="132935"/>
              </w:rPr>
              <w:t>E-3/E-4</w:t>
            </w:r>
          </w:p>
        </w:tc>
      </w:tr>
      <w:tr w:rsidRPr="00A863D4" w:rsidR="009A5DC6" w:rsidTr="00B47B9B" w14:paraId="34767B94" w14:textId="77777777">
        <w:trPr>
          <w:trHeight w:val="610"/>
        </w:trPr>
        <w:tc>
          <w:tcPr>
            <w:tcW w:w="1520" w:type="dxa"/>
            <w:vMerge/>
            <w:tcBorders>
              <w:top w:val="nil"/>
              <w:left w:val="single" w:color="000000" w:sz="8" w:space="0"/>
              <w:bottom w:val="single" w:color="000000" w:sz="8" w:space="0"/>
              <w:right w:val="single" w:color="000000" w:sz="8" w:space="0"/>
            </w:tcBorders>
            <w:vAlign w:val="center"/>
            <w:hideMark/>
          </w:tcPr>
          <w:p w:rsidRPr="00A863D4" w:rsidR="009A5DC6" w:rsidP="00B47B9B" w:rsidRDefault="009A5DC6" w14:paraId="5F27E100" w14:textId="77777777">
            <w:pPr>
              <w:rPr>
                <w:b/>
                <w:bCs/>
                <w:color w:val="132935"/>
              </w:rPr>
            </w:pPr>
          </w:p>
        </w:tc>
        <w:tc>
          <w:tcPr>
            <w:tcW w:w="99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17EF9BC9" w14:textId="77777777">
            <w:pPr>
              <w:rPr>
                <w:color w:val="132935"/>
              </w:rPr>
            </w:pPr>
            <w:r w:rsidRPr="00A863D4">
              <w:rPr>
                <w:color w:val="132935"/>
              </w:rPr>
              <w:t>G-1</w:t>
            </w:r>
          </w:p>
        </w:tc>
        <w:tc>
          <w:tcPr>
            <w:tcW w:w="135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5E383F3E" w14:textId="77777777">
            <w:pPr>
              <w:rPr>
                <w:color w:val="132935"/>
              </w:rPr>
            </w:pPr>
            <w:r w:rsidRPr="00A863D4">
              <w:rPr>
                <w:color w:val="132935"/>
              </w:rPr>
              <w:t>Specialist Basic</w:t>
            </w:r>
          </w:p>
        </w:tc>
        <w:tc>
          <w:tcPr>
            <w:tcW w:w="378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2EDF0378" w14:textId="77777777">
            <w:pPr>
              <w:rPr>
                <w:color w:val="132935"/>
              </w:rPr>
            </w:pPr>
            <w:r w:rsidRPr="00A863D4">
              <w:rPr>
                <w:color w:val="132935"/>
              </w:rPr>
              <w:t>High school or GED degree and no experience</w:t>
            </w:r>
          </w:p>
        </w:tc>
        <w:tc>
          <w:tcPr>
            <w:tcW w:w="1340" w:type="dxa"/>
            <w:tcBorders>
              <w:top w:val="nil"/>
              <w:left w:val="nil"/>
              <w:bottom w:val="single" w:color="000000" w:sz="8" w:space="0"/>
              <w:right w:val="single" w:color="000000" w:sz="8" w:space="0"/>
            </w:tcBorders>
            <w:shd w:val="clear" w:color="000000" w:fill="FFFFFF"/>
            <w:vAlign w:val="center"/>
            <w:hideMark/>
          </w:tcPr>
          <w:p w:rsidRPr="00A863D4" w:rsidR="009A5DC6" w:rsidP="00B47B9B" w:rsidRDefault="009A5DC6" w14:paraId="3C94D32F" w14:textId="77777777">
            <w:pPr>
              <w:rPr>
                <w:color w:val="132935"/>
              </w:rPr>
            </w:pPr>
            <w:r w:rsidRPr="00A863D4">
              <w:rPr>
                <w:color w:val="132935"/>
              </w:rPr>
              <w:t>E-1/E-2</w:t>
            </w:r>
          </w:p>
        </w:tc>
      </w:tr>
    </w:tbl>
    <w:p w:rsidR="009A5DC6" w:rsidP="009A5DC6" w:rsidRDefault="009A5DC6" w14:paraId="406FBDDF" w14:textId="77777777">
      <w:r>
        <w:rPr>
          <w:noProof/>
        </w:rPr>
        <mc:AlternateContent>
          <mc:Choice Requires="wps">
            <w:drawing>
              <wp:anchor distT="45720" distB="45720" distL="114300" distR="114300" simplePos="0" relativeHeight="251662364" behindDoc="0" locked="0" layoutInCell="1" allowOverlap="1" wp14:anchorId="66A81B5D" wp14:editId="64AF1597">
                <wp:simplePos x="0" y="0"/>
                <wp:positionH relativeFrom="column">
                  <wp:posOffset>9525</wp:posOffset>
                </wp:positionH>
                <wp:positionV relativeFrom="paragraph">
                  <wp:posOffset>-7170420</wp:posOffset>
                </wp:positionV>
                <wp:extent cx="1628775" cy="628650"/>
                <wp:effectExtent l="0" t="0" r="28575" b="19050"/>
                <wp:wrapNone/>
                <wp:docPr id="2118491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628650"/>
                        </a:xfrm>
                        <a:prstGeom prst="rect">
                          <a:avLst/>
                        </a:prstGeom>
                        <a:solidFill>
                          <a:srgbClr val="FFFFFF"/>
                        </a:solidFill>
                        <a:ln w="9525">
                          <a:solidFill>
                            <a:srgbClr val="000000"/>
                          </a:solidFill>
                          <a:miter lim="800000"/>
                          <a:headEnd/>
                          <a:tailEnd/>
                        </a:ln>
                      </wps:spPr>
                      <wps:txbx>
                        <w:txbxContent>
                          <w:p w:rsidRPr="00CB1946" w:rsidR="009A5DC6" w:rsidP="00F278ED" w:rsidRDefault="009A5DC6" w14:paraId="51B16AB2" w14:textId="3780DD6E">
                            <w:pPr>
                              <w:pStyle w:val="Heading3"/>
                              <w:rPr>
                                <w:rFonts w:ascii="Times New Roman" w:hAnsi="Times New Roman"/>
                              </w:rPr>
                            </w:pPr>
                            <w:bookmarkStart w:name="_Toc224562638" w:id="40"/>
                            <w:r w:rsidRPr="00CB1946">
                              <w:rPr>
                                <w:rFonts w:ascii="Times New Roman" w:hAnsi="Times New Roman"/>
                              </w:rPr>
                              <w:t xml:space="preserve">Appendix </w:t>
                            </w:r>
                            <w:r w:rsidRPr="00CB1946" w:rsidR="00F278ED">
                              <w:rPr>
                                <w:rFonts w:ascii="Times New Roman" w:hAnsi="Times New Roman"/>
                              </w:rPr>
                              <w:t>C – Unified rank structure</w:t>
                            </w:r>
                            <w:bookmarkEnd w:id="4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1047421">
              <v:shape id="_x0000_s1028" style="position:absolute;left:0;text-align:left;margin-left:.75pt;margin-top:-564.6pt;width:128.25pt;height:49.5pt;z-index:2516623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G+lEwIAACYEAAAOAAAAZHJzL2Uyb0RvYy54bWysU9tu2zAMfR+wfxD0vjgJcqsRp+jSZRjQ&#10;XYBuH0DLcixMFjVJiZ19/Sg5TYNuexnmB4E0pUPy8HB927eaHaXzCk3BJ6MxZ9IIrJTZF/zb192b&#10;FWc+gKlAo5EFP0nPbzevX607m8spNqgr6RiBGJ93tuBNCDbPMi8a2YIfoZWGgjW6FgK5bp9VDjpC&#10;b3U2HY8XWYeusg6F9J7+3g9Bvkn4dS1F+FzXXgamC061hXS6dJbxzDZryPcObKPEuQz4hypaUIaS&#10;XqDuIQA7OPUbVKuEQ491GAlsM6xrJWTqgbqZjF9089iAlakXIsfbC03+/8GKT8dH+8Wx0L/FngaY&#10;mvD2AcV3zwxuGzB7eeccdo2EihJPImVZZ31+fhqp9rmPIGX3ESsaMhwCJqC+dm1khfpkhE4DOF1I&#10;l31gIqZcTFfL5ZwzQTGyF/M0lQzyp9fW+fBeYsuiUXBHQ03ocHzwIVYD+dOVmMyjVtVOaZ0cty+3&#10;2rEjkAB26UsNvLimDesKfjOfzgcC/goxTt+fIFoVSMlatQVfXS5BHml7Z6qkswBKDzaVrM2Zx0jd&#10;QGLoy56pquDTmCDSWmJ1ImIdDsKlRSOjQfeTs45EW3D/4wBOcqY/GBrOzWQ2iypPzmy+nJLjriPl&#10;dQSMIKiCB84GcxvSZkTeDN7REGuV+H2u5FwyiTHRfl6cqPZrP916Xu/NLwAAAP//AwBQSwMEFAAG&#10;AAgAAAAhAH6+PSrhAAAADQEAAA8AAABkcnMvZG93bnJldi54bWxMj81OwzAQhO9IvIO1SFxQayel&#10;JQ1xKoQEghsUBFc33iYR/gm2m4a3Z3uC48x+mp2pNpM1bMQQe+8kZHMBDF3jde9aCe9vD7MCWEzK&#10;aWW8Qwk/GGFTn59VqtT+6F5x3KaWUYiLpZLQpTSUnMemQ6vi3A/o6Lb3wapEMrRcB3WkcGt4LsSK&#10;W9U7+tCpAe87bL62ByuhuH4aP+Pz4uWjWe3NOl3djI/fQcrLi+nuFljCKf3BcKpP1aGmTjt/cDoy&#10;Q3pJoIRZluXrHBgR+bKgdbuTJxYiB15X/P+K+hcAAP//AwBQSwECLQAUAAYACAAAACEAtoM4kv4A&#10;AADhAQAAEwAAAAAAAAAAAAAAAAAAAAAAW0NvbnRlbnRfVHlwZXNdLnhtbFBLAQItABQABgAIAAAA&#10;IQA4/SH/1gAAAJQBAAALAAAAAAAAAAAAAAAAAC8BAABfcmVscy8ucmVsc1BLAQItABQABgAIAAAA&#10;IQCspG+lEwIAACYEAAAOAAAAAAAAAAAAAAAAAC4CAABkcnMvZTJvRG9jLnhtbFBLAQItABQABgAI&#10;AAAAIQB+vj0q4QAAAA0BAAAPAAAAAAAAAAAAAAAAAG0EAABkcnMvZG93bnJldi54bWxQSwUGAAAA&#10;AAQABADzAAAAewUAAAAA&#10;" w14:anchorId="66A81B5D">
                <v:textbox>
                  <w:txbxContent>
                    <w:p w:rsidRPr="00CB1946" w:rsidR="009A5DC6" w:rsidP="00F278ED" w:rsidRDefault="009A5DC6" w14:paraId="1CF956D2" w14:textId="3780DD6E">
                      <w:pPr>
                        <w:pStyle w:val="Heading3"/>
                        <w:rPr>
                          <w:rFonts w:ascii="Times New Roman" w:hAnsi="Times New Roman"/>
                        </w:rPr>
                      </w:pPr>
                      <w:r w:rsidRPr="00CB1946">
                        <w:rPr>
                          <w:rFonts w:ascii="Times New Roman" w:hAnsi="Times New Roman"/>
                        </w:rPr>
                        <w:t xml:space="preserve">Appendix </w:t>
                      </w:r>
                      <w:r w:rsidRPr="00CB1946" w:rsidR="00F278ED">
                        <w:rPr>
                          <w:rFonts w:ascii="Times New Roman" w:hAnsi="Times New Roman"/>
                        </w:rPr>
                        <w:t>C – Unified rank structure</w:t>
                      </w:r>
                    </w:p>
                  </w:txbxContent>
                </v:textbox>
              </v:shape>
            </w:pict>
          </mc:Fallback>
        </mc:AlternateContent>
      </w:r>
    </w:p>
    <w:p w:rsidR="00A55D02" w:rsidRDefault="00A55D02" w14:paraId="19D3FD70" w14:textId="4158D916">
      <w:pPr>
        <w:jc w:val="left"/>
        <w:rPr>
          <w:b/>
          <w:sz w:val="28"/>
        </w:rPr>
      </w:pPr>
      <w:r>
        <w:rPr>
          <w:b/>
          <w:sz w:val="28"/>
        </w:rPr>
        <w:br w:type="page"/>
      </w:r>
    </w:p>
    <w:p w:rsidR="009E62AA" w:rsidP="009A5DC6" w:rsidRDefault="00CB1946" w14:paraId="5A7A8E29" w14:textId="601BAC08">
      <w:pPr>
        <w:jc w:val="left"/>
        <w:rPr>
          <w:b/>
          <w:sz w:val="28"/>
        </w:rPr>
      </w:pPr>
      <w:r>
        <w:rPr>
          <w:noProof/>
        </w:rPr>
        <mc:AlternateContent>
          <mc:Choice Requires="wps">
            <w:drawing>
              <wp:anchor distT="45720" distB="45720" distL="114300" distR="114300" simplePos="0" relativeHeight="251665436" behindDoc="0" locked="0" layoutInCell="1" allowOverlap="1" wp14:anchorId="20A395A3" wp14:editId="1CF39001">
                <wp:simplePos x="0" y="0"/>
                <wp:positionH relativeFrom="column">
                  <wp:posOffset>141605</wp:posOffset>
                </wp:positionH>
                <wp:positionV relativeFrom="paragraph">
                  <wp:posOffset>-203726</wp:posOffset>
                </wp:positionV>
                <wp:extent cx="1765738" cy="709448"/>
                <wp:effectExtent l="0" t="0" r="25400" b="14605"/>
                <wp:wrapNone/>
                <wp:docPr id="1433346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738" cy="709448"/>
                        </a:xfrm>
                        <a:prstGeom prst="rect">
                          <a:avLst/>
                        </a:prstGeom>
                        <a:solidFill>
                          <a:srgbClr val="FFFFFF"/>
                        </a:solidFill>
                        <a:ln w="9525">
                          <a:solidFill>
                            <a:srgbClr val="000000"/>
                          </a:solidFill>
                          <a:miter lim="800000"/>
                          <a:headEnd/>
                          <a:tailEnd/>
                        </a:ln>
                      </wps:spPr>
                      <wps:txbx>
                        <w:txbxContent>
                          <w:p w:rsidRPr="00CB1946" w:rsidR="00CB1946" w:rsidP="00CB1946" w:rsidRDefault="00CB1946" w14:paraId="55904BEF" w14:textId="75533B4A">
                            <w:pPr>
                              <w:pStyle w:val="Heading3"/>
                              <w:rPr>
                                <w:rFonts w:ascii="Times New Roman" w:hAnsi="Times New Roman"/>
                              </w:rPr>
                            </w:pPr>
                            <w:bookmarkStart w:name="_Toc224562639" w:id="41"/>
                            <w:r w:rsidRPr="00CB1946">
                              <w:rPr>
                                <w:rFonts w:ascii="Times New Roman" w:hAnsi="Times New Roman"/>
                              </w:rPr>
                              <w:t xml:space="preserve">Appendix </w:t>
                            </w:r>
                            <w:r>
                              <w:rPr>
                                <w:rFonts w:ascii="Times New Roman" w:hAnsi="Times New Roman"/>
                              </w:rPr>
                              <w:t>D</w:t>
                            </w:r>
                            <w:r w:rsidRPr="00CB1946">
                              <w:rPr>
                                <w:rFonts w:ascii="Times New Roman" w:hAnsi="Times New Roman"/>
                              </w:rPr>
                              <w:t xml:space="preserve"> – </w:t>
                            </w:r>
                            <w:r>
                              <w:rPr>
                                <w:rFonts w:ascii="Times New Roman" w:hAnsi="Times New Roman"/>
                              </w:rPr>
                              <w:t>Career Specialty Code Example</w:t>
                            </w:r>
                            <w:bookmarkEnd w:id="4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B269C3C">
              <v:shape id="_x0000_s1029" style="position:absolute;margin-left:11.15pt;margin-top:-16.05pt;width:139.05pt;height:55.85pt;z-index:2516654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aSnFQIAACYEAAAOAAAAZHJzL2Uyb0RvYy54bWysU9tu2zAMfR+wfxD0vthJkyYx4hRdugwD&#10;ugvQ7QNkSY6FyaImKbG7rx8lu2l2exnmB0E0qUPy8HBz07eanKTzCkxJp5OcEmk4CGUOJf3yef9q&#10;RYkPzAimwciSPkpPb7YvX2w6W8gZNKCFdARBjC86W9ImBFtkmeeNbJmfgJUGnTW4lgU03SETjnWI&#10;3upslufXWQdOWAdceo9/7wYn3Sb8upY8fKxrLwPRJcXaQjpdOqt4ZtsNKw6O2UbxsQz2D1W0TBlM&#10;eoa6Y4GRo1O/QbWKO/BQhwmHNoO6VlymHrCbaf5LNw8NszL1guR4e6bJ/z9Y/uH0YD85EvrX0OMA&#10;UxPe3gP/6omBXcPMQd46B10jmcDE00hZ1llfjE8j1b7wEaTq3oPAIbNjgATU166NrGCfBNFxAI9n&#10;0mUfCI8pl9eL5RXKhKNvma/n81VKwYqn19b58FZCS+KlpA6HmtDZ6d6HWA0rnkJiMg9aib3SOhnu&#10;UO20IyeGAtinb0T/KUwb0pV0vZgtBgL+CpGn708QrQqoZK3akq7OQayItL0xIuksMKWHO5aszchj&#10;pG4gMfRVT5Qo6VVMEGmtQDwisQ4G4eKi4aUB952SDkVbUv/tyJykRL8zOJz1dD6PKk/GfLGcoeEu&#10;PdWlhxmOUCUNlAzXXUibEXkzcItDrFXi97mSsWQUY6J9XJyo9ks7RT2v9/YHAAAA//8DAFBLAwQU&#10;AAYACAAAACEAqOTa8uAAAAAJAQAADwAAAGRycy9kb3ducmV2LnhtbEyPwU7DMBBE70j8g7VIXFBr&#10;N6nSNsSpEBIIbqUguLrxNomw18F20/D3mBMcV/M087baTtawEX3oHUlYzAUwpMbpnloJb68PszWw&#10;EBVpZRyhhG8MsK0vLypVanemFxz3sWWphEKpJHQxDiXnoenQqjB3A1LKjs5bFdPpW669Oqdya3gm&#10;RMGt6iktdGrA+w6bz/3JSlgvn8aP8Jzv3pviaDbxZjU+fnkpr6+mu1tgEaf4B8OvflKHOjkd3Il0&#10;YEZCluWJlDDLswWwBORCLIEdJKw2BfC64v8/qH8AAAD//wMAUEsBAi0AFAAGAAgAAAAhALaDOJL+&#10;AAAA4QEAABMAAAAAAAAAAAAAAAAAAAAAAFtDb250ZW50X1R5cGVzXS54bWxQSwECLQAUAAYACAAA&#10;ACEAOP0h/9YAAACUAQAACwAAAAAAAAAAAAAAAAAvAQAAX3JlbHMvLnJlbHNQSwECLQAUAAYACAAA&#10;ACEAPeGkpxUCAAAmBAAADgAAAAAAAAAAAAAAAAAuAgAAZHJzL2Uyb0RvYy54bWxQSwECLQAUAAYA&#10;CAAAACEAqOTa8uAAAAAJAQAADwAAAAAAAAAAAAAAAABvBAAAZHJzL2Rvd25yZXYueG1sUEsFBgAA&#10;AAAEAAQA8wAAAHwFAAAAAA==&#10;" w14:anchorId="20A395A3">
                <v:textbox>
                  <w:txbxContent>
                    <w:p w:rsidRPr="00CB1946" w:rsidR="00CB1946" w:rsidP="00CB1946" w:rsidRDefault="00CB1946" w14:paraId="4E0EB577" w14:textId="75533B4A">
                      <w:pPr>
                        <w:pStyle w:val="Heading3"/>
                        <w:rPr>
                          <w:rFonts w:ascii="Times New Roman" w:hAnsi="Times New Roman"/>
                        </w:rPr>
                      </w:pPr>
                      <w:r w:rsidRPr="00CB1946">
                        <w:rPr>
                          <w:rFonts w:ascii="Times New Roman" w:hAnsi="Times New Roman"/>
                        </w:rPr>
                        <w:t xml:space="preserve">Appendix </w:t>
                      </w:r>
                      <w:r>
                        <w:rPr>
                          <w:rFonts w:ascii="Times New Roman" w:hAnsi="Times New Roman"/>
                        </w:rPr>
                        <w:t>D</w:t>
                      </w:r>
                      <w:r w:rsidRPr="00CB1946">
                        <w:rPr>
                          <w:rFonts w:ascii="Times New Roman" w:hAnsi="Times New Roman"/>
                        </w:rPr>
                        <w:t xml:space="preserve"> – </w:t>
                      </w:r>
                      <w:r>
                        <w:rPr>
                          <w:rFonts w:ascii="Times New Roman" w:hAnsi="Times New Roman"/>
                        </w:rPr>
                        <w:t>Career Specialty Code Example</w:t>
                      </w:r>
                    </w:p>
                  </w:txbxContent>
                </v:textbox>
              </v:shape>
            </w:pict>
          </mc:Fallback>
        </mc:AlternateContent>
      </w:r>
      <w:r w:rsidR="009E62AA">
        <w:rPr>
          <w:b/>
          <w:sz w:val="28"/>
        </w:rPr>
        <w:object w:dxaOrig="9181" w:dyaOrig="11881" w14:anchorId="561ED75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59.1pt;height:594.7pt" o:ole="" type="#_x0000_t75">
            <v:imagedata o:title="" r:id="rId18"/>
          </v:shape>
          <o:OLEObject Type="Embed" ProgID="Acrobat.Document.DC" ShapeID="_x0000_i1025" DrawAspect="Content" ObjectID="_1837250857" r:id="rId19"/>
        </w:object>
      </w:r>
    </w:p>
    <w:p w:rsidR="009E62AA" w:rsidP="009A5DC6" w:rsidRDefault="009E62AA" w14:paraId="43BFCB88" w14:textId="77777777">
      <w:pPr>
        <w:jc w:val="left"/>
        <w:rPr>
          <w:b/>
          <w:sz w:val="28"/>
        </w:rPr>
      </w:pPr>
    </w:p>
    <w:p w:rsidRPr="009A5DC6" w:rsidR="009E62AA" w:rsidP="009A5DC6" w:rsidRDefault="009E62AA" w14:paraId="39166239" w14:textId="77777777">
      <w:pPr>
        <w:jc w:val="left"/>
        <w:rPr>
          <w:b/>
          <w:sz w:val="28"/>
        </w:rPr>
      </w:pPr>
    </w:p>
    <w:sectPr w:rsidRPr="009A5DC6" w:rsidR="009E62AA" w:rsidSect="00974609">
      <w:endnotePr>
        <w:numFmt w:val="decimal"/>
        <w:numRestart w:val="eachSect"/>
      </w:endnotePr>
      <w:pgSz w:w="12240" w:h="15840" w:orient="portrait"/>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90371" w:rsidRDefault="00F90371" w14:paraId="5D00339D" w14:textId="77777777">
      <w:pPr>
        <w:pStyle w:val="Notes"/>
      </w:pPr>
      <w:r>
        <w:t>Notes</w:t>
      </w:r>
    </w:p>
    <w:p w:rsidR="00F90371" w:rsidRDefault="00F90371" w14:paraId="6BC9053E" w14:textId="77777777"/>
  </w:endnote>
  <w:endnote w:type="continuationSeparator" w:id="0">
    <w:p w:rsidR="00F90371" w:rsidRDefault="00F90371" w14:paraId="05B5210B" w14:textId="77777777">
      <w:pPr>
        <w:pStyle w:val="Notes"/>
      </w:pPr>
      <w:r>
        <w:t>Notes</w:t>
      </w:r>
    </w:p>
    <w:p w:rsidR="00F90371" w:rsidRDefault="00F90371" w14:paraId="10C15234" w14:textId="77777777"/>
  </w:endnote>
  <w:endnote w:type="continuationNotice" w:id="1">
    <w:p w:rsidR="00F90371" w:rsidRDefault="00F90371" w14:paraId="0E12331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83B1B" w:rsidR="0007776D" w:rsidRDefault="0007776D" w14:paraId="5D5935A3" w14:textId="77777777">
    <w:pPr>
      <w:pStyle w:val="Footer"/>
      <w:framePr w:wrap="auto" w:hAnchor="margin" w:vAnchor="text" w:xAlign="center" w:y="1"/>
      <w:rPr>
        <w:rStyle w:val="PageNumber"/>
      </w:rPr>
    </w:pPr>
    <w:r w:rsidRPr="00883B1B">
      <w:rPr>
        <w:rStyle w:val="PageNumber"/>
      </w:rPr>
      <w:fldChar w:fldCharType="begin"/>
    </w:r>
    <w:r w:rsidRPr="00883B1B">
      <w:rPr>
        <w:rStyle w:val="PageNumber"/>
      </w:rPr>
      <w:instrText xml:space="preserve">PAGE  </w:instrText>
    </w:r>
    <w:r w:rsidRPr="00883B1B">
      <w:rPr>
        <w:rStyle w:val="PageNumber"/>
      </w:rPr>
      <w:fldChar w:fldCharType="separate"/>
    </w:r>
    <w:r w:rsidR="00472726">
      <w:rPr>
        <w:rStyle w:val="PageNumber"/>
        <w:noProof/>
      </w:rPr>
      <w:t>iv</w:t>
    </w:r>
    <w:r w:rsidRPr="00883B1B">
      <w:rPr>
        <w:rStyle w:val="PageNumber"/>
      </w:rPr>
      <w:fldChar w:fldCharType="end"/>
    </w:r>
    <w:bookmarkStart w:name="_Toc400726740" w:id="0"/>
    <w:bookmarkStart w:name="_Toc400764520" w:id="1"/>
  </w:p>
  <w:bookmarkEnd w:id="0"/>
  <w:bookmarkEnd w:id="1"/>
  <w:p w:rsidR="0007776D" w:rsidRDefault="0007776D" w14:paraId="426B8AC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90371" w:rsidRDefault="00F90371" w14:paraId="2E2AD1F6" w14:textId="77777777">
      <w:r>
        <w:separator/>
      </w:r>
    </w:p>
    <w:p w:rsidR="00F90371" w:rsidRDefault="00F90371" w14:paraId="3BC59812" w14:textId="77777777"/>
  </w:footnote>
  <w:footnote w:type="continuationSeparator" w:id="0">
    <w:p w:rsidR="00F90371" w:rsidRDefault="00F90371" w14:paraId="72399932" w14:textId="77777777">
      <w:r>
        <w:continuationSeparator/>
      </w:r>
    </w:p>
    <w:p w:rsidR="00F90371" w:rsidRDefault="00F90371" w14:paraId="26B717CA" w14:textId="77777777"/>
  </w:footnote>
  <w:footnote w:type="continuationNotice" w:id="1">
    <w:p w:rsidR="00F90371" w:rsidRDefault="00F90371" w14:paraId="18414EF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7776D" w:rsidRDefault="0007776D" w14:paraId="0AC2127C" w14:textId="5504F1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95042F" w:rsidR="00F278ED" w:rsidP="0095042F" w:rsidRDefault="00F278ED" w14:paraId="3EDBBB82" w14:textId="4BFAB0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210E7"/>
    <w:multiLevelType w:val="hybridMultilevel"/>
    <w:tmpl w:val="66D0C996"/>
    <w:lvl w:ilvl="0" w:tplc="A028A9C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E76C6E"/>
    <w:multiLevelType w:val="hybridMultilevel"/>
    <w:tmpl w:val="2D849204"/>
    <w:lvl w:ilvl="0" w:tplc="A83EDF90">
      <w:start w:val="1"/>
      <w:numFmt w:val="decimal"/>
      <w:pStyle w:val="TOC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6E3D9C"/>
    <w:multiLevelType w:val="singleLevel"/>
    <w:tmpl w:val="8B384B42"/>
    <w:lvl w:ilvl="0">
      <w:start w:val="1"/>
      <w:numFmt w:val="decimal"/>
      <w:lvlText w:val="%1."/>
      <w:legacy w:legacy="1" w:legacySpace="0" w:legacyIndent="288"/>
      <w:lvlJc w:val="left"/>
      <w:pPr>
        <w:ind w:left="720" w:hanging="288"/>
      </w:pPr>
    </w:lvl>
  </w:abstractNum>
  <w:abstractNum w:abstractNumId="3" w15:restartNumberingAfterBreak="0">
    <w:nsid w:val="1CD24A39"/>
    <w:multiLevelType w:val="multilevel"/>
    <w:tmpl w:val="5D8672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2A292EC9"/>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2CE5150B"/>
    <w:multiLevelType w:val="multilevel"/>
    <w:tmpl w:val="FF4E1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B04B5D"/>
    <w:multiLevelType w:val="hybridMultilevel"/>
    <w:tmpl w:val="D832A0BE"/>
    <w:lvl w:ilvl="0" w:tplc="6D44653E">
      <w:start w:val="1"/>
      <w:numFmt w:val="decimal"/>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AB23F5"/>
    <w:multiLevelType w:val="multilevel"/>
    <w:tmpl w:val="637864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464B67CF"/>
    <w:multiLevelType w:val="hybridMultilevel"/>
    <w:tmpl w:val="D6A4DCA2"/>
    <w:lvl w:ilvl="0" w:tplc="C570F62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B820B3B"/>
    <w:multiLevelType w:val="multilevel"/>
    <w:tmpl w:val="0ED0BEF2"/>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hint="default" w:ascii="Symbol" w:hAnsi="Symbol"/>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3CD23B3"/>
    <w:multiLevelType w:val="multilevel"/>
    <w:tmpl w:val="669042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209389160">
    <w:abstractNumId w:val="2"/>
  </w:num>
  <w:num w:numId="2" w16cid:durableId="208032517">
    <w:abstractNumId w:val="4"/>
  </w:num>
  <w:num w:numId="3" w16cid:durableId="678968939">
    <w:abstractNumId w:val="5"/>
  </w:num>
  <w:num w:numId="4" w16cid:durableId="1720284156">
    <w:abstractNumId w:val="9"/>
  </w:num>
  <w:num w:numId="5" w16cid:durableId="1352337724">
    <w:abstractNumId w:val="6"/>
  </w:num>
  <w:num w:numId="6" w16cid:durableId="1869415428">
    <w:abstractNumId w:val="0"/>
  </w:num>
  <w:num w:numId="7" w16cid:durableId="1371299072">
    <w:abstractNumId w:val="8"/>
  </w:num>
  <w:num w:numId="8" w16cid:durableId="1670789413">
    <w:abstractNumId w:val="1"/>
  </w:num>
  <w:num w:numId="9" w16cid:durableId="40444210">
    <w:abstractNumId w:val="3"/>
  </w:num>
  <w:num w:numId="10" w16cid:durableId="1472090132">
    <w:abstractNumId w:val="7"/>
  </w:num>
  <w:num w:numId="11" w16cid:durableId="1071346899">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80"/>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589"/>
    <w:rsid w:val="000125A0"/>
    <w:rsid w:val="0002115B"/>
    <w:rsid w:val="00036589"/>
    <w:rsid w:val="00056C33"/>
    <w:rsid w:val="000714C8"/>
    <w:rsid w:val="0007776D"/>
    <w:rsid w:val="00077B1E"/>
    <w:rsid w:val="00080D7E"/>
    <w:rsid w:val="000830F3"/>
    <w:rsid w:val="00091CF9"/>
    <w:rsid w:val="00096627"/>
    <w:rsid w:val="000A2F00"/>
    <w:rsid w:val="000B0DAF"/>
    <w:rsid w:val="000B7E9A"/>
    <w:rsid w:val="000C06DA"/>
    <w:rsid w:val="000D20A6"/>
    <w:rsid w:val="000E69AD"/>
    <w:rsid w:val="00100F61"/>
    <w:rsid w:val="00111152"/>
    <w:rsid w:val="00115402"/>
    <w:rsid w:val="00117734"/>
    <w:rsid w:val="00121B83"/>
    <w:rsid w:val="001250A8"/>
    <w:rsid w:val="00125394"/>
    <w:rsid w:val="0012746D"/>
    <w:rsid w:val="001313A0"/>
    <w:rsid w:val="0013389A"/>
    <w:rsid w:val="00134057"/>
    <w:rsid w:val="00135652"/>
    <w:rsid w:val="00136177"/>
    <w:rsid w:val="001415AD"/>
    <w:rsid w:val="001426F0"/>
    <w:rsid w:val="001440BC"/>
    <w:rsid w:val="001472BC"/>
    <w:rsid w:val="001658B3"/>
    <w:rsid w:val="001678D7"/>
    <w:rsid w:val="00171D6A"/>
    <w:rsid w:val="0017399D"/>
    <w:rsid w:val="00173E1A"/>
    <w:rsid w:val="00174AEC"/>
    <w:rsid w:val="00175A2B"/>
    <w:rsid w:val="0018080C"/>
    <w:rsid w:val="00184ADC"/>
    <w:rsid w:val="001864B4"/>
    <w:rsid w:val="001902A2"/>
    <w:rsid w:val="00194060"/>
    <w:rsid w:val="00196A72"/>
    <w:rsid w:val="001A4103"/>
    <w:rsid w:val="001A6087"/>
    <w:rsid w:val="001A7A58"/>
    <w:rsid w:val="001A7F53"/>
    <w:rsid w:val="001C175C"/>
    <w:rsid w:val="001C5FF4"/>
    <w:rsid w:val="001C604C"/>
    <w:rsid w:val="001E0271"/>
    <w:rsid w:val="001E3B84"/>
    <w:rsid w:val="001F1A9F"/>
    <w:rsid w:val="001F63A1"/>
    <w:rsid w:val="002001A3"/>
    <w:rsid w:val="00202444"/>
    <w:rsid w:val="00203B27"/>
    <w:rsid w:val="002073FC"/>
    <w:rsid w:val="00210781"/>
    <w:rsid w:val="00217DA2"/>
    <w:rsid w:val="00226197"/>
    <w:rsid w:val="00230EC3"/>
    <w:rsid w:val="00232EB6"/>
    <w:rsid w:val="00236D7A"/>
    <w:rsid w:val="0023704C"/>
    <w:rsid w:val="002404C8"/>
    <w:rsid w:val="0024119A"/>
    <w:rsid w:val="00247A8A"/>
    <w:rsid w:val="00263AF8"/>
    <w:rsid w:val="00266294"/>
    <w:rsid w:val="00285367"/>
    <w:rsid w:val="00294C13"/>
    <w:rsid w:val="002977BB"/>
    <w:rsid w:val="002B006B"/>
    <w:rsid w:val="002B4739"/>
    <w:rsid w:val="002C2A10"/>
    <w:rsid w:val="002C37CE"/>
    <w:rsid w:val="002C3A1A"/>
    <w:rsid w:val="002C4F8C"/>
    <w:rsid w:val="002D498A"/>
    <w:rsid w:val="002E318A"/>
    <w:rsid w:val="002E4CF3"/>
    <w:rsid w:val="002E6405"/>
    <w:rsid w:val="002E6BEB"/>
    <w:rsid w:val="003017FF"/>
    <w:rsid w:val="00304EDF"/>
    <w:rsid w:val="0031025C"/>
    <w:rsid w:val="00310A6E"/>
    <w:rsid w:val="00311438"/>
    <w:rsid w:val="003123CB"/>
    <w:rsid w:val="00324EB8"/>
    <w:rsid w:val="0032636E"/>
    <w:rsid w:val="003366AC"/>
    <w:rsid w:val="00336BE1"/>
    <w:rsid w:val="00337F41"/>
    <w:rsid w:val="00340FE7"/>
    <w:rsid w:val="00341BCD"/>
    <w:rsid w:val="00356CE7"/>
    <w:rsid w:val="003574B6"/>
    <w:rsid w:val="00360FA9"/>
    <w:rsid w:val="0036277F"/>
    <w:rsid w:val="00364105"/>
    <w:rsid w:val="003650C2"/>
    <w:rsid w:val="00375025"/>
    <w:rsid w:val="00383D93"/>
    <w:rsid w:val="00394902"/>
    <w:rsid w:val="00394983"/>
    <w:rsid w:val="00395831"/>
    <w:rsid w:val="003A6B86"/>
    <w:rsid w:val="003C6867"/>
    <w:rsid w:val="003D2A05"/>
    <w:rsid w:val="003D4715"/>
    <w:rsid w:val="003D7F0D"/>
    <w:rsid w:val="003E289B"/>
    <w:rsid w:val="003E2B52"/>
    <w:rsid w:val="003F06CF"/>
    <w:rsid w:val="003F2544"/>
    <w:rsid w:val="003F5250"/>
    <w:rsid w:val="00402006"/>
    <w:rsid w:val="00407081"/>
    <w:rsid w:val="00413F88"/>
    <w:rsid w:val="004148F5"/>
    <w:rsid w:val="00415737"/>
    <w:rsid w:val="0041617D"/>
    <w:rsid w:val="0042493A"/>
    <w:rsid w:val="00427106"/>
    <w:rsid w:val="00431A21"/>
    <w:rsid w:val="00437A23"/>
    <w:rsid w:val="0045115D"/>
    <w:rsid w:val="004662E8"/>
    <w:rsid w:val="00472545"/>
    <w:rsid w:val="00472726"/>
    <w:rsid w:val="00481CFD"/>
    <w:rsid w:val="0048207F"/>
    <w:rsid w:val="004A1074"/>
    <w:rsid w:val="004A7C9C"/>
    <w:rsid w:val="004C3A9E"/>
    <w:rsid w:val="004C53EB"/>
    <w:rsid w:val="004D7E24"/>
    <w:rsid w:val="004E5936"/>
    <w:rsid w:val="004F0277"/>
    <w:rsid w:val="00500769"/>
    <w:rsid w:val="00504DBF"/>
    <w:rsid w:val="005125FE"/>
    <w:rsid w:val="00522382"/>
    <w:rsid w:val="00531249"/>
    <w:rsid w:val="005378E9"/>
    <w:rsid w:val="005407EC"/>
    <w:rsid w:val="005442F6"/>
    <w:rsid w:val="00546302"/>
    <w:rsid w:val="005575FD"/>
    <w:rsid w:val="005655D6"/>
    <w:rsid w:val="00566482"/>
    <w:rsid w:val="00594AC6"/>
    <w:rsid w:val="005A3D69"/>
    <w:rsid w:val="005A78FB"/>
    <w:rsid w:val="005B125D"/>
    <w:rsid w:val="005B1D8F"/>
    <w:rsid w:val="005B4015"/>
    <w:rsid w:val="005D386D"/>
    <w:rsid w:val="005E4247"/>
    <w:rsid w:val="005F09FF"/>
    <w:rsid w:val="005F11B2"/>
    <w:rsid w:val="005F5712"/>
    <w:rsid w:val="00600850"/>
    <w:rsid w:val="00604820"/>
    <w:rsid w:val="00607D89"/>
    <w:rsid w:val="00610079"/>
    <w:rsid w:val="006127EF"/>
    <w:rsid w:val="006200B8"/>
    <w:rsid w:val="00621DB2"/>
    <w:rsid w:val="0062366D"/>
    <w:rsid w:val="00623969"/>
    <w:rsid w:val="006244BF"/>
    <w:rsid w:val="00624C74"/>
    <w:rsid w:val="00625E13"/>
    <w:rsid w:val="006321E2"/>
    <w:rsid w:val="0063263B"/>
    <w:rsid w:val="00633881"/>
    <w:rsid w:val="006379BF"/>
    <w:rsid w:val="0064154D"/>
    <w:rsid w:val="00651286"/>
    <w:rsid w:val="00655EF9"/>
    <w:rsid w:val="00660769"/>
    <w:rsid w:val="00670745"/>
    <w:rsid w:val="00670FC3"/>
    <w:rsid w:val="00672C0B"/>
    <w:rsid w:val="006731BA"/>
    <w:rsid w:val="00691438"/>
    <w:rsid w:val="006941E8"/>
    <w:rsid w:val="00694481"/>
    <w:rsid w:val="00695419"/>
    <w:rsid w:val="006963B8"/>
    <w:rsid w:val="006A2403"/>
    <w:rsid w:val="006A2CDC"/>
    <w:rsid w:val="006A52B2"/>
    <w:rsid w:val="006C3D7E"/>
    <w:rsid w:val="006D1989"/>
    <w:rsid w:val="006D5960"/>
    <w:rsid w:val="006E12F1"/>
    <w:rsid w:val="006E2D77"/>
    <w:rsid w:val="006E3FE6"/>
    <w:rsid w:val="006E61B9"/>
    <w:rsid w:val="006E783F"/>
    <w:rsid w:val="0071161B"/>
    <w:rsid w:val="00711E31"/>
    <w:rsid w:val="00712917"/>
    <w:rsid w:val="00713B72"/>
    <w:rsid w:val="00716E44"/>
    <w:rsid w:val="00721D1B"/>
    <w:rsid w:val="007259EC"/>
    <w:rsid w:val="00731463"/>
    <w:rsid w:val="00745436"/>
    <w:rsid w:val="00750A79"/>
    <w:rsid w:val="00752224"/>
    <w:rsid w:val="0075656F"/>
    <w:rsid w:val="0076245C"/>
    <w:rsid w:val="00763C3D"/>
    <w:rsid w:val="007644BD"/>
    <w:rsid w:val="007654AE"/>
    <w:rsid w:val="007657EE"/>
    <w:rsid w:val="007669F2"/>
    <w:rsid w:val="007671EC"/>
    <w:rsid w:val="0077104C"/>
    <w:rsid w:val="0077473F"/>
    <w:rsid w:val="00786B81"/>
    <w:rsid w:val="00791D1B"/>
    <w:rsid w:val="00793FA8"/>
    <w:rsid w:val="00796C7C"/>
    <w:rsid w:val="007A2222"/>
    <w:rsid w:val="007A2C5C"/>
    <w:rsid w:val="007B6B7F"/>
    <w:rsid w:val="007C521F"/>
    <w:rsid w:val="007D22DC"/>
    <w:rsid w:val="007D4615"/>
    <w:rsid w:val="007D615A"/>
    <w:rsid w:val="007E4380"/>
    <w:rsid w:val="007E674F"/>
    <w:rsid w:val="007F480B"/>
    <w:rsid w:val="007F6732"/>
    <w:rsid w:val="0080331A"/>
    <w:rsid w:val="00805E4F"/>
    <w:rsid w:val="00812172"/>
    <w:rsid w:val="008145F8"/>
    <w:rsid w:val="008179BC"/>
    <w:rsid w:val="00820D35"/>
    <w:rsid w:val="00820D48"/>
    <w:rsid w:val="00824245"/>
    <w:rsid w:val="00830CD2"/>
    <w:rsid w:val="0085681D"/>
    <w:rsid w:val="00862C2A"/>
    <w:rsid w:val="008642B3"/>
    <w:rsid w:val="00871320"/>
    <w:rsid w:val="00872E5E"/>
    <w:rsid w:val="00873D43"/>
    <w:rsid w:val="0087594D"/>
    <w:rsid w:val="0088399F"/>
    <w:rsid w:val="00883B1B"/>
    <w:rsid w:val="008A080D"/>
    <w:rsid w:val="008A0E2E"/>
    <w:rsid w:val="008A345D"/>
    <w:rsid w:val="008A5D0F"/>
    <w:rsid w:val="008B06A9"/>
    <w:rsid w:val="008C10BB"/>
    <w:rsid w:val="008C2BFC"/>
    <w:rsid w:val="008C7295"/>
    <w:rsid w:val="008D2400"/>
    <w:rsid w:val="008E2CD1"/>
    <w:rsid w:val="008E4E0F"/>
    <w:rsid w:val="008E4E4A"/>
    <w:rsid w:val="008E6D6F"/>
    <w:rsid w:val="008F5BF2"/>
    <w:rsid w:val="00901224"/>
    <w:rsid w:val="009044A9"/>
    <w:rsid w:val="00915BE5"/>
    <w:rsid w:val="00915EF6"/>
    <w:rsid w:val="00922BB6"/>
    <w:rsid w:val="009325FF"/>
    <w:rsid w:val="00936A20"/>
    <w:rsid w:val="009373DD"/>
    <w:rsid w:val="0095042F"/>
    <w:rsid w:val="00960EC7"/>
    <w:rsid w:val="009647EC"/>
    <w:rsid w:val="009704A1"/>
    <w:rsid w:val="009730F9"/>
    <w:rsid w:val="00974609"/>
    <w:rsid w:val="00980CDB"/>
    <w:rsid w:val="00987B91"/>
    <w:rsid w:val="00990B76"/>
    <w:rsid w:val="00990F4A"/>
    <w:rsid w:val="00993AF9"/>
    <w:rsid w:val="009A5031"/>
    <w:rsid w:val="009A5DC6"/>
    <w:rsid w:val="009A6632"/>
    <w:rsid w:val="009A715A"/>
    <w:rsid w:val="009B189C"/>
    <w:rsid w:val="009B5BCF"/>
    <w:rsid w:val="009B5FC1"/>
    <w:rsid w:val="009C5357"/>
    <w:rsid w:val="009C73E4"/>
    <w:rsid w:val="009C7793"/>
    <w:rsid w:val="009D0430"/>
    <w:rsid w:val="009D1301"/>
    <w:rsid w:val="009D29C9"/>
    <w:rsid w:val="009D4A7C"/>
    <w:rsid w:val="009D5D1F"/>
    <w:rsid w:val="009E1806"/>
    <w:rsid w:val="009E1F8F"/>
    <w:rsid w:val="009E5ACB"/>
    <w:rsid w:val="009E62AA"/>
    <w:rsid w:val="009F58E3"/>
    <w:rsid w:val="00A161B9"/>
    <w:rsid w:val="00A20501"/>
    <w:rsid w:val="00A23B27"/>
    <w:rsid w:val="00A256CC"/>
    <w:rsid w:val="00A27080"/>
    <w:rsid w:val="00A33B1A"/>
    <w:rsid w:val="00A34095"/>
    <w:rsid w:val="00A34554"/>
    <w:rsid w:val="00A37CAB"/>
    <w:rsid w:val="00A43135"/>
    <w:rsid w:val="00A44410"/>
    <w:rsid w:val="00A55D02"/>
    <w:rsid w:val="00A713DC"/>
    <w:rsid w:val="00A714A4"/>
    <w:rsid w:val="00A75DEE"/>
    <w:rsid w:val="00A84C24"/>
    <w:rsid w:val="00A86309"/>
    <w:rsid w:val="00A95D8A"/>
    <w:rsid w:val="00A96564"/>
    <w:rsid w:val="00AA3697"/>
    <w:rsid w:val="00AB6664"/>
    <w:rsid w:val="00AB7C52"/>
    <w:rsid w:val="00AC27CB"/>
    <w:rsid w:val="00AC3810"/>
    <w:rsid w:val="00AD0C12"/>
    <w:rsid w:val="00AD24DD"/>
    <w:rsid w:val="00AE173A"/>
    <w:rsid w:val="00AE4B1B"/>
    <w:rsid w:val="00B13278"/>
    <w:rsid w:val="00B156BD"/>
    <w:rsid w:val="00B20B97"/>
    <w:rsid w:val="00B21620"/>
    <w:rsid w:val="00B21ADB"/>
    <w:rsid w:val="00B26149"/>
    <w:rsid w:val="00B268E7"/>
    <w:rsid w:val="00B3605E"/>
    <w:rsid w:val="00B37C87"/>
    <w:rsid w:val="00B47722"/>
    <w:rsid w:val="00B500F2"/>
    <w:rsid w:val="00B53D4B"/>
    <w:rsid w:val="00B66CA5"/>
    <w:rsid w:val="00B70DB1"/>
    <w:rsid w:val="00B711E8"/>
    <w:rsid w:val="00B81FB5"/>
    <w:rsid w:val="00B8710A"/>
    <w:rsid w:val="00B95C49"/>
    <w:rsid w:val="00BA3DE0"/>
    <w:rsid w:val="00BA7898"/>
    <w:rsid w:val="00BB15C7"/>
    <w:rsid w:val="00BB334D"/>
    <w:rsid w:val="00BB4CFF"/>
    <w:rsid w:val="00BC2BBE"/>
    <w:rsid w:val="00BD5AE6"/>
    <w:rsid w:val="00BE4428"/>
    <w:rsid w:val="00BF5596"/>
    <w:rsid w:val="00C000EC"/>
    <w:rsid w:val="00C011DB"/>
    <w:rsid w:val="00C05AD9"/>
    <w:rsid w:val="00C15C21"/>
    <w:rsid w:val="00C36F29"/>
    <w:rsid w:val="00C45E16"/>
    <w:rsid w:val="00C45FE2"/>
    <w:rsid w:val="00C47889"/>
    <w:rsid w:val="00C55E70"/>
    <w:rsid w:val="00C65F19"/>
    <w:rsid w:val="00C71B1A"/>
    <w:rsid w:val="00C73044"/>
    <w:rsid w:val="00C77A3E"/>
    <w:rsid w:val="00C77EE0"/>
    <w:rsid w:val="00C80C42"/>
    <w:rsid w:val="00C8308B"/>
    <w:rsid w:val="00CA469F"/>
    <w:rsid w:val="00CB0B08"/>
    <w:rsid w:val="00CB1946"/>
    <w:rsid w:val="00CB1C8D"/>
    <w:rsid w:val="00CB1F7D"/>
    <w:rsid w:val="00CB3D38"/>
    <w:rsid w:val="00CC1953"/>
    <w:rsid w:val="00CC3D88"/>
    <w:rsid w:val="00CC7852"/>
    <w:rsid w:val="00CE23F5"/>
    <w:rsid w:val="00CE345E"/>
    <w:rsid w:val="00CF13A6"/>
    <w:rsid w:val="00CF28E2"/>
    <w:rsid w:val="00CF7450"/>
    <w:rsid w:val="00CF7E8E"/>
    <w:rsid w:val="00D02031"/>
    <w:rsid w:val="00D0403C"/>
    <w:rsid w:val="00D05327"/>
    <w:rsid w:val="00D05A07"/>
    <w:rsid w:val="00D11D5F"/>
    <w:rsid w:val="00D20EB2"/>
    <w:rsid w:val="00D212C0"/>
    <w:rsid w:val="00D23F55"/>
    <w:rsid w:val="00D369A7"/>
    <w:rsid w:val="00D60CC9"/>
    <w:rsid w:val="00D62DB6"/>
    <w:rsid w:val="00D67413"/>
    <w:rsid w:val="00D80AC4"/>
    <w:rsid w:val="00D90409"/>
    <w:rsid w:val="00D90A40"/>
    <w:rsid w:val="00D922B9"/>
    <w:rsid w:val="00D970D4"/>
    <w:rsid w:val="00DA3BD5"/>
    <w:rsid w:val="00DB426E"/>
    <w:rsid w:val="00DB77EA"/>
    <w:rsid w:val="00DC0D62"/>
    <w:rsid w:val="00DD4A7C"/>
    <w:rsid w:val="00DD4F2E"/>
    <w:rsid w:val="00DD52EC"/>
    <w:rsid w:val="00DF055C"/>
    <w:rsid w:val="00E021E5"/>
    <w:rsid w:val="00E035F7"/>
    <w:rsid w:val="00E10511"/>
    <w:rsid w:val="00E11B10"/>
    <w:rsid w:val="00E20B0C"/>
    <w:rsid w:val="00E25B25"/>
    <w:rsid w:val="00E26974"/>
    <w:rsid w:val="00E315B6"/>
    <w:rsid w:val="00E347B4"/>
    <w:rsid w:val="00E415B6"/>
    <w:rsid w:val="00E4680B"/>
    <w:rsid w:val="00E4772C"/>
    <w:rsid w:val="00E55217"/>
    <w:rsid w:val="00E62BE5"/>
    <w:rsid w:val="00E67508"/>
    <w:rsid w:val="00E72DBE"/>
    <w:rsid w:val="00E74B9F"/>
    <w:rsid w:val="00E777A1"/>
    <w:rsid w:val="00E77884"/>
    <w:rsid w:val="00E853B6"/>
    <w:rsid w:val="00E91038"/>
    <w:rsid w:val="00E93E71"/>
    <w:rsid w:val="00E957F6"/>
    <w:rsid w:val="00E95A52"/>
    <w:rsid w:val="00E97BFE"/>
    <w:rsid w:val="00EA3B5C"/>
    <w:rsid w:val="00EA4B21"/>
    <w:rsid w:val="00EB10BA"/>
    <w:rsid w:val="00EB6916"/>
    <w:rsid w:val="00EC1A14"/>
    <w:rsid w:val="00EC380E"/>
    <w:rsid w:val="00EC6E8D"/>
    <w:rsid w:val="00EE1ED2"/>
    <w:rsid w:val="00EE332E"/>
    <w:rsid w:val="00EE62F4"/>
    <w:rsid w:val="00EF1D92"/>
    <w:rsid w:val="00F00115"/>
    <w:rsid w:val="00F0304F"/>
    <w:rsid w:val="00F03463"/>
    <w:rsid w:val="00F07169"/>
    <w:rsid w:val="00F12A66"/>
    <w:rsid w:val="00F132FC"/>
    <w:rsid w:val="00F1496B"/>
    <w:rsid w:val="00F1698F"/>
    <w:rsid w:val="00F2004B"/>
    <w:rsid w:val="00F278ED"/>
    <w:rsid w:val="00F3163B"/>
    <w:rsid w:val="00F317DB"/>
    <w:rsid w:val="00F338A5"/>
    <w:rsid w:val="00F35869"/>
    <w:rsid w:val="00F36569"/>
    <w:rsid w:val="00F46EC5"/>
    <w:rsid w:val="00F5125C"/>
    <w:rsid w:val="00F570FF"/>
    <w:rsid w:val="00F61C50"/>
    <w:rsid w:val="00F63D85"/>
    <w:rsid w:val="00F63EB1"/>
    <w:rsid w:val="00F66308"/>
    <w:rsid w:val="00F71141"/>
    <w:rsid w:val="00F7480C"/>
    <w:rsid w:val="00F8051A"/>
    <w:rsid w:val="00F85671"/>
    <w:rsid w:val="00F86B4D"/>
    <w:rsid w:val="00F87C9A"/>
    <w:rsid w:val="00F90371"/>
    <w:rsid w:val="00F91A23"/>
    <w:rsid w:val="00FA2160"/>
    <w:rsid w:val="00FA3AB0"/>
    <w:rsid w:val="00FA5CCF"/>
    <w:rsid w:val="00FA6ABA"/>
    <w:rsid w:val="00FB0184"/>
    <w:rsid w:val="00FB0C57"/>
    <w:rsid w:val="00FB1844"/>
    <w:rsid w:val="00FB4D99"/>
    <w:rsid w:val="00FB7324"/>
    <w:rsid w:val="00FC0AC6"/>
    <w:rsid w:val="00FC2C91"/>
    <w:rsid w:val="00FC42B0"/>
    <w:rsid w:val="00FC4EB7"/>
    <w:rsid w:val="00FD1AAD"/>
    <w:rsid w:val="00FD4648"/>
    <w:rsid w:val="00FE119B"/>
    <w:rsid w:val="00FF34DB"/>
    <w:rsid w:val="17BC9142"/>
    <w:rsid w:val="2054CF9B"/>
    <w:rsid w:val="5C7B34A5"/>
    <w:rsid w:val="5DFDE86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F4FCC6"/>
  <w15:docId w15:val="{F62C6D2B-CC50-4B63-B7A5-0FB22AA5406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0" w:qFormat="1"/>
    <w:lsdException w:name="heading 4" w:uiPriority="0"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qFormat="1"/>
    <w:lsdException w:name="toc 5" w:uiPriority="39" w:semiHidden="1" w:unhideWhenUsed="1" w:qFormat="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2746D"/>
    <w:pPr>
      <w:jc w:val="both"/>
    </w:pPr>
    <w:rPr>
      <w:sz w:val="24"/>
    </w:rPr>
  </w:style>
  <w:style w:type="paragraph" w:styleId="Heading1">
    <w:name w:val="heading 1"/>
    <w:basedOn w:val="Normal"/>
    <w:next w:val="Normal"/>
    <w:qFormat/>
    <w:rsid w:val="007D22DC"/>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CB1F7D"/>
    <w:pPr>
      <w:keepNext/>
      <w:keepLines/>
      <w:spacing w:before="40"/>
      <w:outlineLvl w:val="1"/>
    </w:pPr>
    <w:rPr>
      <w:rFonts w:asciiTheme="majorHAnsi" w:hAnsiTheme="majorHAnsi" w:eastAsiaTheme="majorEastAsia" w:cstheme="majorBidi"/>
      <w:color w:val="365F91" w:themeColor="accent1" w:themeShade="BF"/>
      <w:sz w:val="26"/>
      <w:szCs w:val="26"/>
    </w:rPr>
  </w:style>
  <w:style w:type="paragraph" w:styleId="Heading3">
    <w:name w:val="heading 3"/>
    <w:basedOn w:val="Normal"/>
    <w:next w:val="Normal"/>
    <w:link w:val="Heading3Char"/>
    <w:qFormat/>
    <w:rsid w:val="007D22DC"/>
    <w:pPr>
      <w:keepNext/>
      <w:spacing w:before="240" w:after="60"/>
      <w:outlineLvl w:val="2"/>
    </w:pPr>
    <w:rPr>
      <w:rFonts w:ascii="Arial" w:hAnsi="Arial"/>
    </w:rPr>
  </w:style>
  <w:style w:type="paragraph" w:styleId="Heading4">
    <w:name w:val="heading 4"/>
    <w:basedOn w:val="Normal"/>
    <w:next w:val="Normal"/>
    <w:qFormat/>
    <w:rsid w:val="006E2D77"/>
    <w:pPr>
      <w:keepNext/>
      <w:spacing w:before="120" w:after="120"/>
      <w:outlineLvl w:val="3"/>
    </w:pPr>
    <w:rPr>
      <w:b/>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rsid w:val="00974609"/>
    <w:pPr>
      <w:tabs>
        <w:tab w:val="center" w:pos="4320"/>
        <w:tab w:val="right" w:pos="8640"/>
      </w:tabs>
    </w:pPr>
  </w:style>
  <w:style w:type="paragraph" w:styleId="Paragraph" w:customStyle="1">
    <w:name w:val="Paragraph"/>
    <w:basedOn w:val="Normal"/>
    <w:link w:val="ParagraphChar"/>
    <w:qFormat/>
    <w:rsid w:val="00974609"/>
    <w:pPr>
      <w:spacing w:line="480" w:lineRule="auto"/>
      <w:ind w:firstLine="432"/>
    </w:pPr>
  </w:style>
  <w:style w:type="paragraph" w:styleId="FrontMatterTitle" w:customStyle="1">
    <w:name w:val="Front Matter Title"/>
    <w:next w:val="Paragraph"/>
    <w:link w:val="FrontMatterTitleChar"/>
    <w:qFormat/>
    <w:rsid w:val="00633881"/>
    <w:pPr>
      <w:spacing w:before="1440" w:after="480"/>
      <w:jc w:val="center"/>
    </w:pPr>
    <w:rPr>
      <w:b/>
      <w:i/>
      <w:kern w:val="28"/>
      <w:sz w:val="28"/>
    </w:rPr>
  </w:style>
  <w:style w:type="paragraph" w:styleId="ListParagraph">
    <w:name w:val="List Paragraph"/>
    <w:basedOn w:val="Normal"/>
    <w:uiPriority w:val="34"/>
    <w:qFormat/>
    <w:rsid w:val="0012746D"/>
    <w:pPr>
      <w:ind w:left="720"/>
      <w:contextualSpacing/>
    </w:pPr>
  </w:style>
  <w:style w:type="character" w:styleId="FrontMatterTitleChar" w:customStyle="1">
    <w:name w:val="Front Matter Title Char"/>
    <w:basedOn w:val="DefaultParagraphFont"/>
    <w:link w:val="FrontMatterTitle"/>
    <w:rsid w:val="00633881"/>
    <w:rPr>
      <w:b/>
      <w:i/>
      <w:kern w:val="28"/>
      <w:sz w:val="28"/>
    </w:rPr>
  </w:style>
  <w:style w:type="paragraph" w:styleId="BibEntry" w:customStyle="1">
    <w:name w:val="Bib Entry"/>
    <w:basedOn w:val="Normal"/>
    <w:rsid w:val="00974609"/>
    <w:pPr>
      <w:ind w:left="432" w:hanging="432"/>
    </w:pPr>
  </w:style>
  <w:style w:type="paragraph" w:styleId="BlockQuotation" w:customStyle="1">
    <w:name w:val="Block Quotation"/>
    <w:basedOn w:val="Normal"/>
    <w:next w:val="Paragraph"/>
    <w:link w:val="BlockQuotationChar"/>
    <w:rsid w:val="00974609"/>
    <w:pPr>
      <w:spacing w:after="240"/>
      <w:ind w:left="720" w:right="720"/>
    </w:pPr>
  </w:style>
  <w:style w:type="paragraph" w:styleId="TitlePageCenter1" w:customStyle="1">
    <w:name w:val="Title Page Center 1"/>
    <w:basedOn w:val="Normal"/>
    <w:next w:val="TitlePageCenter2"/>
    <w:rsid w:val="00974609"/>
    <w:pPr>
      <w:spacing w:before="960" w:after="360"/>
      <w:jc w:val="center"/>
    </w:pPr>
  </w:style>
  <w:style w:type="paragraph" w:styleId="TitlePageBy" w:customStyle="1">
    <w:name w:val="Title Page By"/>
    <w:basedOn w:val="Normal"/>
    <w:next w:val="Authors1Column"/>
    <w:rsid w:val="00974609"/>
    <w:pPr>
      <w:spacing w:after="360"/>
      <w:jc w:val="center"/>
    </w:pPr>
  </w:style>
  <w:style w:type="paragraph" w:styleId="Authors2Column" w:customStyle="1">
    <w:name w:val="Authors 2 Column"/>
    <w:basedOn w:val="Normal"/>
    <w:rsid w:val="00974609"/>
    <w:pPr>
      <w:tabs>
        <w:tab w:val="center" w:pos="2160"/>
        <w:tab w:val="center" w:pos="6480"/>
      </w:tabs>
    </w:pPr>
  </w:style>
  <w:style w:type="paragraph" w:styleId="Authors1Column" w:customStyle="1">
    <w:name w:val="Authors 1 Column"/>
    <w:basedOn w:val="Normal"/>
    <w:rsid w:val="00974609"/>
    <w:pPr>
      <w:jc w:val="center"/>
    </w:pPr>
  </w:style>
  <w:style w:type="paragraph" w:styleId="TitlePageDesignator" w:customStyle="1">
    <w:name w:val="Title Page Designator"/>
    <w:basedOn w:val="Normal"/>
    <w:next w:val="TitlePageSchool"/>
    <w:rsid w:val="00633881"/>
    <w:pPr>
      <w:keepNext/>
      <w:pageBreakBefore/>
      <w:spacing w:after="1200"/>
      <w:jc w:val="left"/>
    </w:pPr>
    <w:rPr>
      <w:caps/>
    </w:rPr>
  </w:style>
  <w:style w:type="paragraph" w:styleId="TitleLine3" w:customStyle="1">
    <w:name w:val="Title Line 3"/>
    <w:basedOn w:val="Normal"/>
    <w:next w:val="TitlePageBy"/>
    <w:rsid w:val="00974609"/>
    <w:pPr>
      <w:keepNext/>
      <w:spacing w:after="1200"/>
      <w:jc w:val="center"/>
    </w:pPr>
    <w:rPr>
      <w:caps/>
      <w:sz w:val="32"/>
    </w:rPr>
  </w:style>
  <w:style w:type="paragraph" w:styleId="TitleLine1" w:customStyle="1">
    <w:name w:val="Title Line 1"/>
    <w:basedOn w:val="Normal"/>
    <w:next w:val="TitleLine2"/>
    <w:rsid w:val="00974609"/>
    <w:pPr>
      <w:keepNext/>
      <w:spacing w:after="360"/>
      <w:jc w:val="center"/>
    </w:pPr>
    <w:rPr>
      <w:caps/>
      <w:sz w:val="32"/>
    </w:rPr>
  </w:style>
  <w:style w:type="paragraph" w:styleId="TitlePageDate" w:customStyle="1">
    <w:name w:val="Title Page Date"/>
    <w:basedOn w:val="Authors1Column"/>
    <w:next w:val="Normal"/>
    <w:rsid w:val="00974609"/>
  </w:style>
  <w:style w:type="paragraph" w:styleId="Disclaimer" w:customStyle="1">
    <w:name w:val="Disclaimer"/>
    <w:basedOn w:val="Normal"/>
    <w:next w:val="Paragraph"/>
    <w:autoRedefine/>
    <w:qFormat/>
    <w:rsid w:val="00194060"/>
    <w:pPr>
      <w:keepNext/>
      <w:pageBreakBefore/>
      <w:spacing w:before="5040" w:after="480"/>
      <w:jc w:val="center"/>
    </w:pPr>
    <w:rPr>
      <w:b/>
      <w:i/>
      <w:sz w:val="28"/>
    </w:rPr>
  </w:style>
  <w:style w:type="character" w:styleId="PageNumber">
    <w:name w:val="page number"/>
    <w:basedOn w:val="DefaultParagraphFont"/>
    <w:rsid w:val="00974609"/>
  </w:style>
  <w:style w:type="paragraph" w:styleId="ChapterNumber" w:customStyle="1">
    <w:name w:val="Chapter Number"/>
    <w:basedOn w:val="Normal"/>
    <w:next w:val="ChapterTitle"/>
    <w:link w:val="ChapterNumberChar"/>
    <w:autoRedefine/>
    <w:qFormat/>
    <w:rsid w:val="00203B27"/>
    <w:pPr>
      <w:keepNext/>
      <w:pageBreakBefore/>
      <w:spacing w:before="1440" w:after="480"/>
      <w:jc w:val="center"/>
    </w:pPr>
    <w:rPr>
      <w:b/>
      <w:sz w:val="28"/>
    </w:rPr>
  </w:style>
  <w:style w:type="paragraph" w:styleId="ChapterTitle" w:customStyle="1">
    <w:name w:val="Chapter Title"/>
    <w:next w:val="Paragraph"/>
    <w:qFormat/>
    <w:rsid w:val="00EB6916"/>
    <w:pPr>
      <w:keepNext/>
      <w:spacing w:before="1440" w:after="480"/>
      <w:jc w:val="center"/>
    </w:pPr>
    <w:rPr>
      <w:b/>
      <w:i/>
      <w:kern w:val="28"/>
      <w:sz w:val="28"/>
    </w:rPr>
  </w:style>
  <w:style w:type="paragraph" w:styleId="ChapterSubheading1" w:customStyle="1">
    <w:name w:val="Chapter Subheading 1"/>
    <w:basedOn w:val="Normal"/>
    <w:next w:val="Paragraph"/>
    <w:link w:val="ChapterSubheading1Char"/>
    <w:qFormat/>
    <w:rsid w:val="00974609"/>
    <w:pPr>
      <w:keepNext/>
      <w:spacing w:before="240" w:after="360"/>
      <w:jc w:val="center"/>
    </w:pPr>
    <w:rPr>
      <w:b/>
      <w:sz w:val="28"/>
    </w:rPr>
  </w:style>
  <w:style w:type="paragraph" w:styleId="ChapterSubheading2" w:customStyle="1">
    <w:name w:val="Chapter Subheading 2"/>
    <w:basedOn w:val="Normal"/>
    <w:next w:val="Paragraph"/>
    <w:qFormat/>
    <w:rsid w:val="00974609"/>
    <w:pPr>
      <w:keepNext/>
      <w:spacing w:before="240" w:after="240"/>
      <w:jc w:val="left"/>
    </w:pPr>
    <w:rPr>
      <w:b/>
    </w:rPr>
  </w:style>
  <w:style w:type="paragraph" w:styleId="EpigraphSource" w:customStyle="1">
    <w:name w:val="Epigraph Source"/>
    <w:basedOn w:val="Normal"/>
    <w:qFormat/>
    <w:rsid w:val="00974609"/>
    <w:pPr>
      <w:ind w:right="720"/>
      <w:jc w:val="right"/>
    </w:pPr>
  </w:style>
  <w:style w:type="paragraph" w:styleId="EpigraphText" w:customStyle="1">
    <w:name w:val="Epigraph Text"/>
    <w:basedOn w:val="BlockQuotation"/>
    <w:next w:val="EpigraphSource"/>
    <w:qFormat/>
    <w:rsid w:val="00974609"/>
    <w:rPr>
      <w:i/>
    </w:rPr>
  </w:style>
  <w:style w:type="paragraph" w:styleId="EndnoteText">
    <w:name w:val="endnote text"/>
    <w:basedOn w:val="Normal"/>
    <w:semiHidden/>
    <w:qFormat/>
    <w:rsid w:val="00974609"/>
    <w:pPr>
      <w:ind w:firstLine="432"/>
    </w:pPr>
  </w:style>
  <w:style w:type="paragraph" w:styleId="UnindentedParagraph" w:customStyle="1">
    <w:name w:val="Unindented Paragraph"/>
    <w:basedOn w:val="Paragraph"/>
    <w:next w:val="Paragraph"/>
    <w:qFormat/>
    <w:rsid w:val="00974609"/>
    <w:pPr>
      <w:ind w:firstLine="0"/>
    </w:pPr>
  </w:style>
  <w:style w:type="paragraph" w:styleId="Caption">
    <w:name w:val="caption"/>
    <w:basedOn w:val="Normal"/>
    <w:next w:val="Paragraph"/>
    <w:qFormat/>
    <w:rsid w:val="001E3B84"/>
    <w:pPr>
      <w:spacing w:before="240" w:after="240"/>
      <w:jc w:val="center"/>
    </w:pPr>
    <w:rPr>
      <w:b/>
    </w:rPr>
  </w:style>
  <w:style w:type="character" w:styleId="EndnoteReference">
    <w:name w:val="endnote reference"/>
    <w:basedOn w:val="DefaultParagraphFont"/>
    <w:semiHidden/>
    <w:rsid w:val="00974609"/>
    <w:rPr>
      <w:rFonts w:ascii="Times New Roman" w:hAnsi="Times New Roman"/>
      <w:sz w:val="24"/>
      <w:vertAlign w:val="superscript"/>
    </w:rPr>
  </w:style>
  <w:style w:type="paragraph" w:styleId="Lists" w:customStyle="1">
    <w:name w:val="Lists"/>
    <w:basedOn w:val="Paragraph"/>
    <w:rsid w:val="00974609"/>
    <w:pPr>
      <w:spacing w:line="240" w:lineRule="auto"/>
      <w:ind w:left="810" w:hanging="378"/>
    </w:pPr>
  </w:style>
  <w:style w:type="paragraph" w:styleId="TOC1">
    <w:name w:val="toc 1"/>
    <w:basedOn w:val="Normal"/>
    <w:next w:val="Normal"/>
    <w:uiPriority w:val="39"/>
    <w:qFormat/>
    <w:rsid w:val="00F2004B"/>
    <w:pPr>
      <w:numPr>
        <w:numId w:val="8"/>
      </w:numPr>
      <w:spacing w:before="240"/>
      <w:ind w:left="360"/>
    </w:pPr>
  </w:style>
  <w:style w:type="paragraph" w:styleId="TOC2">
    <w:name w:val="toc 2"/>
    <w:basedOn w:val="ListParagraph"/>
    <w:next w:val="Normal"/>
    <w:uiPriority w:val="39"/>
    <w:qFormat/>
    <w:rsid w:val="00F2004B"/>
    <w:pPr>
      <w:ind w:left="1440" w:hanging="720"/>
    </w:pPr>
    <w:rPr>
      <w:rFonts w:eastAsiaTheme="minorEastAsia"/>
    </w:rPr>
  </w:style>
  <w:style w:type="paragraph" w:styleId="TOC3">
    <w:name w:val="toc 3"/>
    <w:basedOn w:val="Normal"/>
    <w:next w:val="Normal"/>
    <w:uiPriority w:val="39"/>
    <w:qFormat/>
    <w:rsid w:val="00F2004B"/>
    <w:pPr>
      <w:ind w:left="2160" w:hanging="1080"/>
    </w:pPr>
    <w:rPr>
      <w:rFonts w:eastAsiaTheme="minorEastAsia"/>
    </w:rPr>
  </w:style>
  <w:style w:type="paragraph" w:styleId="TOC4">
    <w:name w:val="toc 4"/>
    <w:basedOn w:val="Normal"/>
    <w:next w:val="Normal"/>
    <w:uiPriority w:val="39"/>
    <w:qFormat/>
    <w:rsid w:val="00F2004B"/>
    <w:pPr>
      <w:ind w:left="2880" w:hanging="1440"/>
    </w:pPr>
    <w:rPr>
      <w:rFonts w:eastAsiaTheme="minorEastAsia"/>
    </w:rPr>
  </w:style>
  <w:style w:type="paragraph" w:styleId="PageHeader" w:customStyle="1">
    <w:name w:val="Page Header"/>
    <w:basedOn w:val="Normal"/>
    <w:next w:val="Normal"/>
    <w:rsid w:val="00974609"/>
    <w:pPr>
      <w:jc w:val="right"/>
    </w:pPr>
    <w:rPr>
      <w:i/>
    </w:rPr>
  </w:style>
  <w:style w:type="paragraph" w:styleId="TableofFigures">
    <w:name w:val="table of figures"/>
    <w:basedOn w:val="Normal"/>
    <w:next w:val="Normal"/>
    <w:uiPriority w:val="99"/>
    <w:rsid w:val="00974609"/>
    <w:pPr>
      <w:tabs>
        <w:tab w:val="right" w:leader="dot" w:pos="8640"/>
      </w:tabs>
      <w:spacing w:before="240"/>
      <w:ind w:left="540" w:right="720" w:hanging="540"/>
    </w:pPr>
    <w:rPr>
      <w:noProof/>
    </w:rPr>
  </w:style>
  <w:style w:type="paragraph" w:styleId="BackMatterTitle" w:customStyle="1">
    <w:name w:val="Back Matter Title"/>
    <w:next w:val="GlossaryText"/>
    <w:qFormat/>
    <w:rsid w:val="00DB426E"/>
    <w:pPr>
      <w:spacing w:before="1440" w:after="480"/>
      <w:jc w:val="center"/>
    </w:pPr>
    <w:rPr>
      <w:b/>
      <w:i/>
      <w:sz w:val="28"/>
    </w:rPr>
  </w:style>
  <w:style w:type="paragraph" w:styleId="GlossaryText" w:customStyle="1">
    <w:name w:val="Glossary Text"/>
    <w:basedOn w:val="Normal"/>
    <w:rsid w:val="00974609"/>
    <w:pPr>
      <w:tabs>
        <w:tab w:val="left" w:pos="2880"/>
      </w:tabs>
      <w:ind w:left="2880" w:hanging="2880"/>
    </w:pPr>
  </w:style>
  <w:style w:type="paragraph" w:styleId="Definition" w:customStyle="1">
    <w:name w:val="Definition"/>
    <w:basedOn w:val="Paragraph"/>
    <w:rsid w:val="00974609"/>
    <w:pPr>
      <w:spacing w:line="240" w:lineRule="auto"/>
      <w:ind w:left="432" w:hanging="432"/>
    </w:pPr>
  </w:style>
  <w:style w:type="paragraph" w:styleId="Notes" w:customStyle="1">
    <w:name w:val="Notes"/>
    <w:basedOn w:val="Normal"/>
    <w:next w:val="Normal"/>
    <w:rsid w:val="00974609"/>
    <w:pPr>
      <w:spacing w:before="240" w:after="240"/>
      <w:jc w:val="center"/>
    </w:pPr>
    <w:rPr>
      <w:b/>
    </w:rPr>
  </w:style>
  <w:style w:type="paragraph" w:styleId="TitleLine2" w:customStyle="1">
    <w:name w:val="Title Line 2"/>
    <w:basedOn w:val="TitleLine1"/>
    <w:next w:val="TitleLine3"/>
    <w:rsid w:val="00974609"/>
  </w:style>
  <w:style w:type="paragraph" w:styleId="TitlePageSchool" w:customStyle="1">
    <w:name w:val="Title Page School"/>
    <w:basedOn w:val="Normal"/>
    <w:next w:val="TitlePageUniversity"/>
    <w:rsid w:val="00974609"/>
    <w:pPr>
      <w:spacing w:after="480"/>
      <w:jc w:val="center"/>
    </w:pPr>
    <w:rPr>
      <w:caps/>
    </w:rPr>
  </w:style>
  <w:style w:type="paragraph" w:styleId="TitlePageUniversity" w:customStyle="1">
    <w:name w:val="Title Page University"/>
    <w:basedOn w:val="Normal"/>
    <w:next w:val="Normal"/>
    <w:rsid w:val="00974609"/>
    <w:pPr>
      <w:spacing w:after="1200"/>
      <w:jc w:val="center"/>
    </w:pPr>
    <w:rPr>
      <w:caps/>
    </w:rPr>
  </w:style>
  <w:style w:type="paragraph" w:styleId="TitlePageAdvisor" w:customStyle="1">
    <w:name w:val="Title Page Advisor"/>
    <w:basedOn w:val="Normal"/>
    <w:rsid w:val="00974609"/>
    <w:pPr>
      <w:spacing w:before="720" w:after="720"/>
      <w:jc w:val="center"/>
    </w:pPr>
  </w:style>
  <w:style w:type="paragraph" w:styleId="TitlePageBase" w:customStyle="1">
    <w:name w:val="Title Page Base"/>
    <w:basedOn w:val="Normal"/>
    <w:next w:val="TitlePageDate"/>
    <w:rsid w:val="00974609"/>
    <w:pPr>
      <w:spacing w:after="240"/>
      <w:jc w:val="center"/>
    </w:pPr>
  </w:style>
  <w:style w:type="paragraph" w:styleId="TitlePageCenter2" w:customStyle="1">
    <w:name w:val="Title Page Center 2"/>
    <w:basedOn w:val="Normal"/>
    <w:next w:val="TitlePageAdvisor"/>
    <w:rsid w:val="00974609"/>
    <w:pPr>
      <w:jc w:val="center"/>
    </w:pPr>
  </w:style>
  <w:style w:type="paragraph" w:styleId="Equation" w:customStyle="1">
    <w:name w:val="Equation"/>
    <w:basedOn w:val="UnindentedParagraph"/>
    <w:next w:val="Paragraph"/>
    <w:rsid w:val="00974609"/>
    <w:pPr>
      <w:tabs>
        <w:tab w:val="center" w:pos="4320"/>
        <w:tab w:val="right" w:pos="8640"/>
      </w:tabs>
    </w:pPr>
  </w:style>
  <w:style w:type="paragraph" w:styleId="BulletedLists" w:customStyle="1">
    <w:name w:val="Bulleted Lists"/>
    <w:basedOn w:val="Lists"/>
    <w:rsid w:val="00974609"/>
    <w:pPr>
      <w:ind w:hanging="360"/>
    </w:pPr>
  </w:style>
  <w:style w:type="paragraph" w:styleId="Picture" w:customStyle="1">
    <w:name w:val="Picture"/>
    <w:basedOn w:val="Normal"/>
    <w:next w:val="Caption"/>
    <w:rsid w:val="00974609"/>
    <w:pPr>
      <w:keepNext/>
      <w:jc w:val="center"/>
    </w:pPr>
  </w:style>
  <w:style w:type="paragraph" w:styleId="BalloonText">
    <w:name w:val="Balloon Text"/>
    <w:basedOn w:val="Normal"/>
    <w:link w:val="BalloonTextChar"/>
    <w:uiPriority w:val="99"/>
    <w:semiHidden/>
    <w:unhideWhenUsed/>
    <w:rsid w:val="009044A9"/>
    <w:rPr>
      <w:rFonts w:ascii="Tahoma" w:hAnsi="Tahoma" w:cs="Tahoma"/>
      <w:sz w:val="16"/>
      <w:szCs w:val="16"/>
    </w:rPr>
  </w:style>
  <w:style w:type="character" w:styleId="BalloonTextChar" w:customStyle="1">
    <w:name w:val="Balloon Text Char"/>
    <w:basedOn w:val="DefaultParagraphFont"/>
    <w:link w:val="BalloonText"/>
    <w:uiPriority w:val="99"/>
    <w:semiHidden/>
    <w:rsid w:val="009044A9"/>
    <w:rPr>
      <w:rFonts w:ascii="Tahoma" w:hAnsi="Tahoma" w:cs="Tahoma"/>
      <w:sz w:val="16"/>
      <w:szCs w:val="16"/>
    </w:rPr>
  </w:style>
  <w:style w:type="paragraph" w:styleId="Header">
    <w:name w:val="header"/>
    <w:basedOn w:val="Normal"/>
    <w:link w:val="HeaderChar"/>
    <w:uiPriority w:val="99"/>
    <w:unhideWhenUsed/>
    <w:rsid w:val="00F86B4D"/>
    <w:pPr>
      <w:tabs>
        <w:tab w:val="center" w:pos="4680"/>
        <w:tab w:val="right" w:pos="9360"/>
      </w:tabs>
    </w:pPr>
  </w:style>
  <w:style w:type="character" w:styleId="HeaderChar" w:customStyle="1">
    <w:name w:val="Header Char"/>
    <w:basedOn w:val="DefaultParagraphFont"/>
    <w:link w:val="Header"/>
    <w:uiPriority w:val="99"/>
    <w:rsid w:val="00F86B4D"/>
    <w:rPr>
      <w:sz w:val="24"/>
    </w:rPr>
  </w:style>
  <w:style w:type="paragraph" w:styleId="Default" w:customStyle="1">
    <w:name w:val="Default"/>
    <w:rsid w:val="00C000EC"/>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unhideWhenUsed/>
    <w:rsid w:val="00A84C24"/>
    <w:rPr>
      <w:color w:val="0000FF" w:themeColor="hyperlink"/>
      <w:u w:val="single"/>
    </w:rPr>
  </w:style>
  <w:style w:type="paragraph" w:styleId="PlainText">
    <w:name w:val="Plain Text"/>
    <w:basedOn w:val="Normal"/>
    <w:link w:val="PlainTextChar"/>
    <w:uiPriority w:val="99"/>
    <w:unhideWhenUsed/>
    <w:rsid w:val="00EC1A14"/>
    <w:pPr>
      <w:jc w:val="left"/>
    </w:pPr>
    <w:rPr>
      <w:rFonts w:ascii="Consolas" w:hAnsi="Consolas" w:eastAsiaTheme="minorHAnsi" w:cstheme="minorBidi"/>
      <w:sz w:val="21"/>
      <w:szCs w:val="21"/>
    </w:rPr>
  </w:style>
  <w:style w:type="character" w:styleId="PlainTextChar" w:customStyle="1">
    <w:name w:val="Plain Text Char"/>
    <w:basedOn w:val="DefaultParagraphFont"/>
    <w:link w:val="PlainText"/>
    <w:uiPriority w:val="99"/>
    <w:rsid w:val="00EC1A14"/>
    <w:rPr>
      <w:rFonts w:ascii="Consolas" w:hAnsi="Consolas" w:eastAsiaTheme="minorHAnsi" w:cstheme="minorBidi"/>
      <w:sz w:val="21"/>
      <w:szCs w:val="21"/>
    </w:rPr>
  </w:style>
  <w:style w:type="paragraph" w:styleId="TOCHeading">
    <w:name w:val="TOC Heading"/>
    <w:basedOn w:val="Heading1"/>
    <w:next w:val="Normal"/>
    <w:uiPriority w:val="39"/>
    <w:unhideWhenUsed/>
    <w:qFormat/>
    <w:rsid w:val="007D22DC"/>
    <w:pPr>
      <w:keepLines/>
      <w:spacing w:before="480" w:after="0" w:line="276" w:lineRule="auto"/>
      <w:jc w:val="left"/>
      <w:outlineLvl w:val="9"/>
    </w:pPr>
    <w:rPr>
      <w:rFonts w:asciiTheme="majorHAnsi" w:hAnsiTheme="majorHAnsi" w:eastAsiaTheme="majorEastAsia" w:cstheme="majorBidi"/>
      <w:bCs/>
      <w:color w:val="365F91" w:themeColor="accent1" w:themeShade="BF"/>
      <w:kern w:val="0"/>
      <w:szCs w:val="28"/>
    </w:rPr>
  </w:style>
  <w:style w:type="character" w:styleId="FollowedHyperlink">
    <w:name w:val="FollowedHyperlink"/>
    <w:basedOn w:val="DefaultParagraphFont"/>
    <w:uiPriority w:val="99"/>
    <w:semiHidden/>
    <w:unhideWhenUsed/>
    <w:rsid w:val="00B21620"/>
    <w:rPr>
      <w:color w:val="800080" w:themeColor="followedHyperlink"/>
      <w:u w:val="single"/>
    </w:rPr>
  </w:style>
  <w:style w:type="paragraph" w:styleId="FootnoteText">
    <w:name w:val="footnote text"/>
    <w:basedOn w:val="Normal"/>
    <w:link w:val="FootnoteTextChar"/>
    <w:uiPriority w:val="99"/>
    <w:semiHidden/>
    <w:unhideWhenUsed/>
    <w:rsid w:val="00812172"/>
    <w:rPr>
      <w:sz w:val="20"/>
    </w:rPr>
  </w:style>
  <w:style w:type="character" w:styleId="FootnoteTextChar" w:customStyle="1">
    <w:name w:val="Footnote Text Char"/>
    <w:basedOn w:val="DefaultParagraphFont"/>
    <w:link w:val="FootnoteText"/>
    <w:uiPriority w:val="99"/>
    <w:semiHidden/>
    <w:rsid w:val="00812172"/>
  </w:style>
  <w:style w:type="character" w:styleId="FootnoteReference">
    <w:name w:val="footnote reference"/>
    <w:basedOn w:val="DefaultParagraphFont"/>
    <w:uiPriority w:val="99"/>
    <w:semiHidden/>
    <w:unhideWhenUsed/>
    <w:rsid w:val="00812172"/>
    <w:rPr>
      <w:vertAlign w:val="superscript"/>
    </w:rPr>
  </w:style>
  <w:style w:type="character" w:styleId="CommentReference">
    <w:name w:val="Comment Reference"/>
    <w:basedOn w:val="DefaultParagraphFont"/>
    <w:uiPriority w:val="99"/>
    <w:semiHidden/>
    <w:unhideWhenUsed/>
    <w:rsid w:val="00CC7852"/>
    <w:rPr>
      <w:sz w:val="16"/>
      <w:szCs w:val="16"/>
    </w:rPr>
  </w:style>
  <w:style w:type="paragraph" w:styleId="CommentText">
    <w:name w:val="Comment Text"/>
    <w:basedOn w:val="Normal"/>
    <w:link w:val="CommentTextChar"/>
    <w:uiPriority w:val="99"/>
    <w:unhideWhenUsed/>
    <w:rsid w:val="00CC7852"/>
    <w:rPr>
      <w:sz w:val="20"/>
    </w:rPr>
  </w:style>
  <w:style w:type="character" w:styleId="CommentTextChar" w:customStyle="1">
    <w:name w:val="Comment Text Char"/>
    <w:basedOn w:val="DefaultParagraphFont"/>
    <w:link w:val="CommentText"/>
    <w:uiPriority w:val="99"/>
    <w:rsid w:val="00CC7852"/>
  </w:style>
  <w:style w:type="paragraph" w:styleId="CommentSubject">
    <w:name w:val="Comment Subject"/>
    <w:basedOn w:val="CommentText"/>
    <w:next w:val="CommentText"/>
    <w:link w:val="CommentSubjectChar"/>
    <w:uiPriority w:val="99"/>
    <w:semiHidden/>
    <w:unhideWhenUsed/>
    <w:rsid w:val="00CC7852"/>
    <w:rPr>
      <w:b/>
      <w:bCs/>
    </w:rPr>
  </w:style>
  <w:style w:type="character" w:styleId="CommentSubjectChar" w:customStyle="1">
    <w:name w:val="Comment Subject Char"/>
    <w:basedOn w:val="CommentTextChar"/>
    <w:link w:val="CommentSubject"/>
    <w:uiPriority w:val="99"/>
    <w:semiHidden/>
    <w:rsid w:val="00CC7852"/>
    <w:rPr>
      <w:b/>
      <w:bCs/>
    </w:rPr>
  </w:style>
  <w:style w:type="paragraph" w:styleId="Revision">
    <w:name w:val="Revision"/>
    <w:hidden/>
    <w:uiPriority w:val="99"/>
    <w:semiHidden/>
    <w:rsid w:val="006244BF"/>
    <w:rPr>
      <w:sz w:val="24"/>
    </w:rPr>
  </w:style>
  <w:style w:type="table" w:styleId="TableGrid">
    <w:name w:val="Table Grid"/>
    <w:basedOn w:val="TableNormal"/>
    <w:uiPriority w:val="59"/>
    <w:rsid w:val="008E4E4A"/>
    <w:rPr>
      <w:rFonts w:asciiTheme="minorHAnsi" w:hAnsiTheme="minorHAnsi"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hapterSubheadings3" w:customStyle="1">
    <w:name w:val="Chapter Subheadings 3"/>
    <w:basedOn w:val="Paragraph"/>
    <w:link w:val="ChapterSubheadings3Char"/>
    <w:qFormat/>
    <w:rsid w:val="00BC2BBE"/>
    <w:rPr>
      <w:b/>
    </w:rPr>
  </w:style>
  <w:style w:type="paragraph" w:styleId="Quotation" w:customStyle="1">
    <w:name w:val="Quotation"/>
    <w:basedOn w:val="BlockQuotation"/>
    <w:link w:val="QuotationChar"/>
    <w:qFormat/>
    <w:rsid w:val="00BD5AE6"/>
  </w:style>
  <w:style w:type="character" w:styleId="ParagraphChar" w:customStyle="1">
    <w:name w:val="Paragraph Char"/>
    <w:basedOn w:val="DefaultParagraphFont"/>
    <w:link w:val="Paragraph"/>
    <w:rsid w:val="00BC2BBE"/>
    <w:rPr>
      <w:sz w:val="24"/>
    </w:rPr>
  </w:style>
  <w:style w:type="character" w:styleId="ChapterSubheadings3Char" w:customStyle="1">
    <w:name w:val="Chapter Subheadings 3 Char"/>
    <w:basedOn w:val="ParagraphChar"/>
    <w:link w:val="ChapterSubheadings3"/>
    <w:rsid w:val="00BC2BBE"/>
    <w:rPr>
      <w:b/>
      <w:sz w:val="24"/>
    </w:rPr>
  </w:style>
  <w:style w:type="paragraph" w:styleId="AppendixTitle" w:customStyle="1">
    <w:name w:val="Appendix Title"/>
    <w:next w:val="Paragraph"/>
    <w:link w:val="AppendixTitleChar"/>
    <w:autoRedefine/>
    <w:qFormat/>
    <w:rsid w:val="00203B27"/>
    <w:pPr>
      <w:spacing w:before="480" w:after="480"/>
      <w:jc w:val="center"/>
    </w:pPr>
    <w:rPr>
      <w:b/>
      <w:i/>
      <w:sz w:val="28"/>
    </w:rPr>
  </w:style>
  <w:style w:type="character" w:styleId="BlockQuotationChar" w:customStyle="1">
    <w:name w:val="Block Quotation Char"/>
    <w:basedOn w:val="DefaultParagraphFont"/>
    <w:link w:val="BlockQuotation"/>
    <w:rsid w:val="00BD5AE6"/>
    <w:rPr>
      <w:sz w:val="24"/>
    </w:rPr>
  </w:style>
  <w:style w:type="character" w:styleId="QuotationChar" w:customStyle="1">
    <w:name w:val="Quotation Char"/>
    <w:basedOn w:val="BlockQuotationChar"/>
    <w:link w:val="Quotation"/>
    <w:rsid w:val="00BD5AE6"/>
    <w:rPr>
      <w:sz w:val="24"/>
    </w:rPr>
  </w:style>
  <w:style w:type="character" w:styleId="Heading2Char" w:customStyle="1">
    <w:name w:val="Heading 2 Char"/>
    <w:basedOn w:val="DefaultParagraphFont"/>
    <w:link w:val="Heading2"/>
    <w:uiPriority w:val="9"/>
    <w:semiHidden/>
    <w:rsid w:val="00CB1F7D"/>
    <w:rPr>
      <w:rFonts w:asciiTheme="majorHAnsi" w:hAnsiTheme="majorHAnsi" w:eastAsiaTheme="majorEastAsia" w:cstheme="majorBidi"/>
      <w:color w:val="365F91" w:themeColor="accent1" w:themeShade="BF"/>
      <w:sz w:val="26"/>
      <w:szCs w:val="26"/>
    </w:rPr>
  </w:style>
  <w:style w:type="character" w:styleId="ChapterSubheading1Char" w:customStyle="1">
    <w:name w:val="Chapter Subheading 1 Char"/>
    <w:basedOn w:val="DefaultParagraphFont"/>
    <w:link w:val="ChapterSubheading1"/>
    <w:rsid w:val="00F5125C"/>
    <w:rPr>
      <w:b/>
      <w:sz w:val="28"/>
    </w:rPr>
  </w:style>
  <w:style w:type="character" w:styleId="AppendixTitleChar" w:customStyle="1">
    <w:name w:val="Appendix Title Char"/>
    <w:basedOn w:val="ChapterSubheading1Char"/>
    <w:link w:val="AppendixTitle"/>
    <w:rsid w:val="00203B27"/>
    <w:rPr>
      <w:b/>
      <w:i/>
      <w:sz w:val="28"/>
    </w:rPr>
  </w:style>
  <w:style w:type="paragraph" w:styleId="TOC5">
    <w:name w:val="toc 5"/>
    <w:basedOn w:val="Normal"/>
    <w:next w:val="Normal"/>
    <w:autoRedefine/>
    <w:uiPriority w:val="39"/>
    <w:unhideWhenUsed/>
    <w:qFormat/>
    <w:rsid w:val="0012746D"/>
    <w:pPr>
      <w:spacing w:before="240" w:after="240"/>
    </w:pPr>
    <w:rPr>
      <w:rFonts w:eastAsiaTheme="minorEastAsia"/>
    </w:rPr>
  </w:style>
  <w:style w:type="paragraph" w:styleId="BibliographyEntries" w:customStyle="1">
    <w:name w:val="Bibliography Entries"/>
    <w:basedOn w:val="Normal"/>
    <w:link w:val="BibliographyEntriesChar"/>
    <w:qFormat/>
    <w:rsid w:val="001E0271"/>
    <w:pPr>
      <w:spacing w:after="120"/>
      <w:ind w:left="576" w:hanging="576"/>
      <w:jc w:val="left"/>
    </w:pPr>
  </w:style>
  <w:style w:type="character" w:styleId="BibliographyEntriesChar" w:customStyle="1">
    <w:name w:val="Bibliography Entries Char"/>
    <w:basedOn w:val="DefaultParagraphFont"/>
    <w:link w:val="BibliographyEntries"/>
    <w:rsid w:val="001E0271"/>
    <w:rPr>
      <w:sz w:val="24"/>
    </w:rPr>
  </w:style>
  <w:style w:type="paragraph" w:styleId="TOC9">
    <w:name w:val="toc 9"/>
    <w:basedOn w:val="Normal"/>
    <w:next w:val="Normal"/>
    <w:autoRedefine/>
    <w:uiPriority w:val="39"/>
    <w:semiHidden/>
    <w:unhideWhenUsed/>
    <w:rsid w:val="00633881"/>
    <w:pPr>
      <w:spacing w:after="100"/>
      <w:ind w:left="1920"/>
    </w:pPr>
  </w:style>
  <w:style w:type="paragraph" w:styleId="AppendixLetterHeader" w:customStyle="1">
    <w:name w:val="Appendix Letter Header"/>
    <w:basedOn w:val="ChapterNumber"/>
    <w:link w:val="AppendixLetterHeaderChar"/>
    <w:autoRedefine/>
    <w:qFormat/>
    <w:rsid w:val="00203B27"/>
  </w:style>
  <w:style w:type="character" w:styleId="ChapterNumberChar" w:customStyle="1">
    <w:name w:val="Chapter Number Char"/>
    <w:basedOn w:val="DefaultParagraphFont"/>
    <w:link w:val="ChapterNumber"/>
    <w:rsid w:val="00203B27"/>
    <w:rPr>
      <w:b/>
      <w:sz w:val="28"/>
    </w:rPr>
  </w:style>
  <w:style w:type="character" w:styleId="AppendixLetterHeaderChar" w:customStyle="1">
    <w:name w:val="Appendix Letter Header Char"/>
    <w:basedOn w:val="ChapterNumberChar"/>
    <w:link w:val="AppendixLetterHeader"/>
    <w:rsid w:val="00203B27"/>
    <w:rPr>
      <w:b/>
      <w:sz w:val="28"/>
    </w:rPr>
  </w:style>
  <w:style w:type="paragraph" w:styleId="Title">
    <w:name w:val="Title"/>
    <w:basedOn w:val="Normal"/>
    <w:next w:val="Normal"/>
    <w:link w:val="TitleChar"/>
    <w:uiPriority w:val="10"/>
    <w:qFormat/>
    <w:rsid w:val="00F278ED"/>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F278ED"/>
    <w:rPr>
      <w:rFonts w:asciiTheme="majorHAnsi" w:hAnsiTheme="majorHAnsi" w:eastAsiaTheme="majorEastAsia" w:cstheme="majorBidi"/>
      <w:spacing w:val="-10"/>
      <w:kern w:val="28"/>
      <w:sz w:val="56"/>
      <w:szCs w:val="56"/>
    </w:rPr>
  </w:style>
  <w:style w:type="character" w:styleId="UnresolvedMention">
    <w:name w:val="Unresolved Mention"/>
    <w:basedOn w:val="DefaultParagraphFont"/>
    <w:uiPriority w:val="99"/>
    <w:semiHidden/>
    <w:unhideWhenUsed/>
    <w:rsid w:val="003D7F0D"/>
    <w:rPr>
      <w:color w:val="605E5C"/>
      <w:shd w:val="clear" w:color="auto" w:fill="E1DFDD"/>
    </w:rPr>
  </w:style>
  <w:style w:type="paragraph" w:styleId="NormalWeb">
    <w:name w:val="Normal (Web)"/>
    <w:basedOn w:val="Normal"/>
    <w:uiPriority w:val="99"/>
    <w:semiHidden/>
    <w:unhideWhenUsed/>
    <w:rsid w:val="00CB1946"/>
    <w:pPr>
      <w:spacing w:before="100" w:beforeAutospacing="1" w:after="100" w:afterAutospacing="1"/>
      <w:jc w:val="left"/>
    </w:pPr>
    <w:rPr>
      <w:szCs w:val="24"/>
    </w:rPr>
  </w:style>
  <w:style w:type="character" w:styleId="Emphasis">
    <w:name w:val="Emphasis"/>
    <w:basedOn w:val="DefaultParagraphFont"/>
    <w:uiPriority w:val="20"/>
    <w:qFormat/>
    <w:rsid w:val="00CB1946"/>
    <w:rPr>
      <w:i/>
      <w:iCs/>
    </w:rPr>
  </w:style>
  <w:style w:type="character" w:styleId="Heading3Char" w:customStyle="1">
    <w:name w:val="Heading 3 Char"/>
    <w:basedOn w:val="DefaultParagraphFont"/>
    <w:link w:val="Heading3"/>
    <w:rsid w:val="00CB1946"/>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02013">
      <w:bodyDiv w:val="1"/>
      <w:marLeft w:val="0"/>
      <w:marRight w:val="0"/>
      <w:marTop w:val="0"/>
      <w:marBottom w:val="0"/>
      <w:divBdr>
        <w:top w:val="none" w:sz="0" w:space="0" w:color="auto"/>
        <w:left w:val="none" w:sz="0" w:space="0" w:color="auto"/>
        <w:bottom w:val="none" w:sz="0" w:space="0" w:color="auto"/>
        <w:right w:val="none" w:sz="0" w:space="0" w:color="auto"/>
      </w:divBdr>
    </w:div>
    <w:div w:id="97606490">
      <w:bodyDiv w:val="1"/>
      <w:marLeft w:val="0"/>
      <w:marRight w:val="0"/>
      <w:marTop w:val="0"/>
      <w:marBottom w:val="0"/>
      <w:divBdr>
        <w:top w:val="none" w:sz="0" w:space="0" w:color="auto"/>
        <w:left w:val="none" w:sz="0" w:space="0" w:color="auto"/>
        <w:bottom w:val="none" w:sz="0" w:space="0" w:color="auto"/>
        <w:right w:val="none" w:sz="0" w:space="0" w:color="auto"/>
      </w:divBdr>
      <w:divsChild>
        <w:div w:id="98306566">
          <w:marLeft w:val="0"/>
          <w:marRight w:val="0"/>
          <w:marTop w:val="0"/>
          <w:marBottom w:val="0"/>
          <w:divBdr>
            <w:top w:val="none" w:sz="0" w:space="0" w:color="auto"/>
            <w:left w:val="none" w:sz="0" w:space="0" w:color="auto"/>
            <w:bottom w:val="none" w:sz="0" w:space="0" w:color="auto"/>
            <w:right w:val="none" w:sz="0" w:space="0" w:color="auto"/>
          </w:divBdr>
        </w:div>
      </w:divsChild>
    </w:div>
    <w:div w:id="180045727">
      <w:bodyDiv w:val="1"/>
      <w:marLeft w:val="0"/>
      <w:marRight w:val="0"/>
      <w:marTop w:val="0"/>
      <w:marBottom w:val="0"/>
      <w:divBdr>
        <w:top w:val="none" w:sz="0" w:space="0" w:color="auto"/>
        <w:left w:val="none" w:sz="0" w:space="0" w:color="auto"/>
        <w:bottom w:val="none" w:sz="0" w:space="0" w:color="auto"/>
        <w:right w:val="none" w:sz="0" w:space="0" w:color="auto"/>
      </w:divBdr>
    </w:div>
    <w:div w:id="209077723">
      <w:bodyDiv w:val="1"/>
      <w:marLeft w:val="0"/>
      <w:marRight w:val="0"/>
      <w:marTop w:val="0"/>
      <w:marBottom w:val="0"/>
      <w:divBdr>
        <w:top w:val="none" w:sz="0" w:space="0" w:color="auto"/>
        <w:left w:val="none" w:sz="0" w:space="0" w:color="auto"/>
        <w:bottom w:val="none" w:sz="0" w:space="0" w:color="auto"/>
        <w:right w:val="none" w:sz="0" w:space="0" w:color="auto"/>
      </w:divBdr>
      <w:divsChild>
        <w:div w:id="1135677338">
          <w:marLeft w:val="0"/>
          <w:marRight w:val="0"/>
          <w:marTop w:val="0"/>
          <w:marBottom w:val="0"/>
          <w:divBdr>
            <w:top w:val="none" w:sz="0" w:space="0" w:color="auto"/>
            <w:left w:val="none" w:sz="0" w:space="0" w:color="auto"/>
            <w:bottom w:val="none" w:sz="0" w:space="0" w:color="auto"/>
            <w:right w:val="none" w:sz="0" w:space="0" w:color="auto"/>
          </w:divBdr>
        </w:div>
      </w:divsChild>
    </w:div>
    <w:div w:id="269170354">
      <w:bodyDiv w:val="1"/>
      <w:marLeft w:val="0"/>
      <w:marRight w:val="0"/>
      <w:marTop w:val="0"/>
      <w:marBottom w:val="0"/>
      <w:divBdr>
        <w:top w:val="none" w:sz="0" w:space="0" w:color="auto"/>
        <w:left w:val="none" w:sz="0" w:space="0" w:color="auto"/>
        <w:bottom w:val="none" w:sz="0" w:space="0" w:color="auto"/>
        <w:right w:val="none" w:sz="0" w:space="0" w:color="auto"/>
      </w:divBdr>
      <w:divsChild>
        <w:div w:id="469596319">
          <w:marLeft w:val="300"/>
          <w:marRight w:val="0"/>
          <w:marTop w:val="375"/>
          <w:marBottom w:val="225"/>
          <w:divBdr>
            <w:top w:val="none" w:sz="0" w:space="0" w:color="auto"/>
            <w:left w:val="none" w:sz="0" w:space="0" w:color="auto"/>
            <w:bottom w:val="none" w:sz="0" w:space="0" w:color="auto"/>
            <w:right w:val="none" w:sz="0" w:space="0" w:color="auto"/>
          </w:divBdr>
          <w:divsChild>
            <w:div w:id="886576020">
              <w:marLeft w:val="0"/>
              <w:marRight w:val="0"/>
              <w:marTop w:val="0"/>
              <w:marBottom w:val="0"/>
              <w:divBdr>
                <w:top w:val="none" w:sz="0" w:space="0" w:color="auto"/>
                <w:left w:val="none" w:sz="0" w:space="0" w:color="auto"/>
                <w:bottom w:val="none" w:sz="0" w:space="0" w:color="auto"/>
                <w:right w:val="none" w:sz="0" w:space="0" w:color="auto"/>
              </w:divBdr>
              <w:divsChild>
                <w:div w:id="886406921">
                  <w:marLeft w:val="0"/>
                  <w:marRight w:val="0"/>
                  <w:marTop w:val="0"/>
                  <w:marBottom w:val="0"/>
                  <w:divBdr>
                    <w:top w:val="none" w:sz="0" w:space="0" w:color="auto"/>
                    <w:left w:val="none" w:sz="0" w:space="0" w:color="auto"/>
                    <w:bottom w:val="none" w:sz="0" w:space="0" w:color="auto"/>
                    <w:right w:val="none" w:sz="0" w:space="0" w:color="auto"/>
                  </w:divBdr>
                  <w:divsChild>
                    <w:div w:id="310521787">
                      <w:marLeft w:val="0"/>
                      <w:marRight w:val="0"/>
                      <w:marTop w:val="0"/>
                      <w:marBottom w:val="0"/>
                      <w:divBdr>
                        <w:top w:val="none" w:sz="0" w:space="0" w:color="auto"/>
                        <w:left w:val="none" w:sz="0" w:space="0" w:color="auto"/>
                        <w:bottom w:val="none" w:sz="0" w:space="0" w:color="auto"/>
                        <w:right w:val="none" w:sz="0" w:space="0" w:color="auto"/>
                      </w:divBdr>
                      <w:divsChild>
                        <w:div w:id="17808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251110">
      <w:bodyDiv w:val="1"/>
      <w:marLeft w:val="0"/>
      <w:marRight w:val="0"/>
      <w:marTop w:val="0"/>
      <w:marBottom w:val="0"/>
      <w:divBdr>
        <w:top w:val="none" w:sz="0" w:space="0" w:color="auto"/>
        <w:left w:val="none" w:sz="0" w:space="0" w:color="auto"/>
        <w:bottom w:val="none" w:sz="0" w:space="0" w:color="auto"/>
        <w:right w:val="none" w:sz="0" w:space="0" w:color="auto"/>
      </w:divBdr>
      <w:divsChild>
        <w:div w:id="1512406636">
          <w:marLeft w:val="0"/>
          <w:marRight w:val="0"/>
          <w:marTop w:val="0"/>
          <w:marBottom w:val="0"/>
          <w:divBdr>
            <w:top w:val="none" w:sz="0" w:space="0" w:color="auto"/>
            <w:left w:val="none" w:sz="0" w:space="0" w:color="auto"/>
            <w:bottom w:val="none" w:sz="0" w:space="0" w:color="auto"/>
            <w:right w:val="none" w:sz="0" w:space="0" w:color="auto"/>
          </w:divBdr>
        </w:div>
      </w:divsChild>
    </w:div>
    <w:div w:id="284315888">
      <w:bodyDiv w:val="1"/>
      <w:marLeft w:val="0"/>
      <w:marRight w:val="0"/>
      <w:marTop w:val="0"/>
      <w:marBottom w:val="0"/>
      <w:divBdr>
        <w:top w:val="none" w:sz="0" w:space="0" w:color="auto"/>
        <w:left w:val="none" w:sz="0" w:space="0" w:color="auto"/>
        <w:bottom w:val="none" w:sz="0" w:space="0" w:color="auto"/>
        <w:right w:val="none" w:sz="0" w:space="0" w:color="auto"/>
      </w:divBdr>
    </w:div>
    <w:div w:id="284586850">
      <w:bodyDiv w:val="1"/>
      <w:marLeft w:val="0"/>
      <w:marRight w:val="0"/>
      <w:marTop w:val="0"/>
      <w:marBottom w:val="0"/>
      <w:divBdr>
        <w:top w:val="none" w:sz="0" w:space="0" w:color="auto"/>
        <w:left w:val="none" w:sz="0" w:space="0" w:color="auto"/>
        <w:bottom w:val="none" w:sz="0" w:space="0" w:color="auto"/>
        <w:right w:val="none" w:sz="0" w:space="0" w:color="auto"/>
      </w:divBdr>
      <w:divsChild>
        <w:div w:id="1085881045">
          <w:marLeft w:val="0"/>
          <w:marRight w:val="0"/>
          <w:marTop w:val="0"/>
          <w:marBottom w:val="0"/>
          <w:divBdr>
            <w:top w:val="none" w:sz="0" w:space="0" w:color="auto"/>
            <w:left w:val="none" w:sz="0" w:space="0" w:color="auto"/>
            <w:bottom w:val="none" w:sz="0" w:space="0" w:color="auto"/>
            <w:right w:val="none" w:sz="0" w:space="0" w:color="auto"/>
          </w:divBdr>
          <w:divsChild>
            <w:div w:id="1908295381">
              <w:marLeft w:val="0"/>
              <w:marRight w:val="0"/>
              <w:marTop w:val="0"/>
              <w:marBottom w:val="0"/>
              <w:divBdr>
                <w:top w:val="none" w:sz="0" w:space="0" w:color="auto"/>
                <w:left w:val="none" w:sz="0" w:space="0" w:color="auto"/>
                <w:bottom w:val="none" w:sz="0" w:space="0" w:color="auto"/>
                <w:right w:val="none" w:sz="0" w:space="0" w:color="auto"/>
              </w:divBdr>
            </w:div>
            <w:div w:id="2102220210">
              <w:marLeft w:val="0"/>
              <w:marRight w:val="0"/>
              <w:marTop w:val="0"/>
              <w:marBottom w:val="0"/>
              <w:divBdr>
                <w:top w:val="none" w:sz="0" w:space="0" w:color="auto"/>
                <w:left w:val="none" w:sz="0" w:space="0" w:color="auto"/>
                <w:bottom w:val="none" w:sz="0" w:space="0" w:color="auto"/>
                <w:right w:val="none" w:sz="0" w:space="0" w:color="auto"/>
              </w:divBdr>
            </w:div>
            <w:div w:id="1103257501">
              <w:marLeft w:val="0"/>
              <w:marRight w:val="0"/>
              <w:marTop w:val="0"/>
              <w:marBottom w:val="0"/>
              <w:divBdr>
                <w:top w:val="none" w:sz="0" w:space="0" w:color="auto"/>
                <w:left w:val="none" w:sz="0" w:space="0" w:color="auto"/>
                <w:bottom w:val="none" w:sz="0" w:space="0" w:color="auto"/>
                <w:right w:val="none" w:sz="0" w:space="0" w:color="auto"/>
              </w:divBdr>
            </w:div>
            <w:div w:id="498741143">
              <w:marLeft w:val="0"/>
              <w:marRight w:val="0"/>
              <w:marTop w:val="0"/>
              <w:marBottom w:val="0"/>
              <w:divBdr>
                <w:top w:val="none" w:sz="0" w:space="0" w:color="auto"/>
                <w:left w:val="none" w:sz="0" w:space="0" w:color="auto"/>
                <w:bottom w:val="none" w:sz="0" w:space="0" w:color="auto"/>
                <w:right w:val="none" w:sz="0" w:space="0" w:color="auto"/>
              </w:divBdr>
            </w:div>
            <w:div w:id="1104886372">
              <w:marLeft w:val="0"/>
              <w:marRight w:val="0"/>
              <w:marTop w:val="0"/>
              <w:marBottom w:val="0"/>
              <w:divBdr>
                <w:top w:val="none" w:sz="0" w:space="0" w:color="auto"/>
                <w:left w:val="none" w:sz="0" w:space="0" w:color="auto"/>
                <w:bottom w:val="none" w:sz="0" w:space="0" w:color="auto"/>
                <w:right w:val="none" w:sz="0" w:space="0" w:color="auto"/>
              </w:divBdr>
            </w:div>
            <w:div w:id="673922417">
              <w:marLeft w:val="0"/>
              <w:marRight w:val="0"/>
              <w:marTop w:val="0"/>
              <w:marBottom w:val="0"/>
              <w:divBdr>
                <w:top w:val="none" w:sz="0" w:space="0" w:color="auto"/>
                <w:left w:val="none" w:sz="0" w:space="0" w:color="auto"/>
                <w:bottom w:val="none" w:sz="0" w:space="0" w:color="auto"/>
                <w:right w:val="none" w:sz="0" w:space="0" w:color="auto"/>
              </w:divBdr>
            </w:div>
            <w:div w:id="591664498">
              <w:marLeft w:val="0"/>
              <w:marRight w:val="0"/>
              <w:marTop w:val="0"/>
              <w:marBottom w:val="0"/>
              <w:divBdr>
                <w:top w:val="none" w:sz="0" w:space="0" w:color="auto"/>
                <w:left w:val="none" w:sz="0" w:space="0" w:color="auto"/>
                <w:bottom w:val="none" w:sz="0" w:space="0" w:color="auto"/>
                <w:right w:val="none" w:sz="0" w:space="0" w:color="auto"/>
              </w:divBdr>
            </w:div>
            <w:div w:id="1017269276">
              <w:marLeft w:val="0"/>
              <w:marRight w:val="0"/>
              <w:marTop w:val="0"/>
              <w:marBottom w:val="0"/>
              <w:divBdr>
                <w:top w:val="none" w:sz="0" w:space="0" w:color="auto"/>
                <w:left w:val="none" w:sz="0" w:space="0" w:color="auto"/>
                <w:bottom w:val="none" w:sz="0" w:space="0" w:color="auto"/>
                <w:right w:val="none" w:sz="0" w:space="0" w:color="auto"/>
              </w:divBdr>
            </w:div>
            <w:div w:id="1917737501">
              <w:marLeft w:val="0"/>
              <w:marRight w:val="0"/>
              <w:marTop w:val="0"/>
              <w:marBottom w:val="0"/>
              <w:divBdr>
                <w:top w:val="none" w:sz="0" w:space="0" w:color="auto"/>
                <w:left w:val="none" w:sz="0" w:space="0" w:color="auto"/>
                <w:bottom w:val="none" w:sz="0" w:space="0" w:color="auto"/>
                <w:right w:val="none" w:sz="0" w:space="0" w:color="auto"/>
              </w:divBdr>
            </w:div>
            <w:div w:id="644353518">
              <w:marLeft w:val="0"/>
              <w:marRight w:val="0"/>
              <w:marTop w:val="0"/>
              <w:marBottom w:val="0"/>
              <w:divBdr>
                <w:top w:val="none" w:sz="0" w:space="0" w:color="auto"/>
                <w:left w:val="none" w:sz="0" w:space="0" w:color="auto"/>
                <w:bottom w:val="none" w:sz="0" w:space="0" w:color="auto"/>
                <w:right w:val="none" w:sz="0" w:space="0" w:color="auto"/>
              </w:divBdr>
            </w:div>
            <w:div w:id="2106075875">
              <w:marLeft w:val="0"/>
              <w:marRight w:val="0"/>
              <w:marTop w:val="0"/>
              <w:marBottom w:val="0"/>
              <w:divBdr>
                <w:top w:val="none" w:sz="0" w:space="0" w:color="auto"/>
                <w:left w:val="none" w:sz="0" w:space="0" w:color="auto"/>
                <w:bottom w:val="none" w:sz="0" w:space="0" w:color="auto"/>
                <w:right w:val="none" w:sz="0" w:space="0" w:color="auto"/>
              </w:divBdr>
            </w:div>
            <w:div w:id="16127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10791">
      <w:bodyDiv w:val="1"/>
      <w:marLeft w:val="0"/>
      <w:marRight w:val="0"/>
      <w:marTop w:val="0"/>
      <w:marBottom w:val="0"/>
      <w:divBdr>
        <w:top w:val="none" w:sz="0" w:space="0" w:color="auto"/>
        <w:left w:val="none" w:sz="0" w:space="0" w:color="auto"/>
        <w:bottom w:val="none" w:sz="0" w:space="0" w:color="auto"/>
        <w:right w:val="none" w:sz="0" w:space="0" w:color="auto"/>
      </w:divBdr>
    </w:div>
    <w:div w:id="310133259">
      <w:bodyDiv w:val="1"/>
      <w:marLeft w:val="0"/>
      <w:marRight w:val="0"/>
      <w:marTop w:val="0"/>
      <w:marBottom w:val="0"/>
      <w:divBdr>
        <w:top w:val="none" w:sz="0" w:space="0" w:color="auto"/>
        <w:left w:val="none" w:sz="0" w:space="0" w:color="auto"/>
        <w:bottom w:val="none" w:sz="0" w:space="0" w:color="auto"/>
        <w:right w:val="none" w:sz="0" w:space="0" w:color="auto"/>
      </w:divBdr>
      <w:divsChild>
        <w:div w:id="1082414670">
          <w:marLeft w:val="0"/>
          <w:marRight w:val="0"/>
          <w:marTop w:val="0"/>
          <w:marBottom w:val="0"/>
          <w:divBdr>
            <w:top w:val="none" w:sz="0" w:space="0" w:color="auto"/>
            <w:left w:val="none" w:sz="0" w:space="0" w:color="auto"/>
            <w:bottom w:val="none" w:sz="0" w:space="0" w:color="auto"/>
            <w:right w:val="none" w:sz="0" w:space="0" w:color="auto"/>
          </w:divBdr>
        </w:div>
      </w:divsChild>
    </w:div>
    <w:div w:id="315765346">
      <w:bodyDiv w:val="1"/>
      <w:marLeft w:val="0"/>
      <w:marRight w:val="0"/>
      <w:marTop w:val="0"/>
      <w:marBottom w:val="0"/>
      <w:divBdr>
        <w:top w:val="none" w:sz="0" w:space="0" w:color="auto"/>
        <w:left w:val="none" w:sz="0" w:space="0" w:color="auto"/>
        <w:bottom w:val="none" w:sz="0" w:space="0" w:color="auto"/>
        <w:right w:val="none" w:sz="0" w:space="0" w:color="auto"/>
      </w:divBdr>
      <w:divsChild>
        <w:div w:id="478572742">
          <w:marLeft w:val="0"/>
          <w:marRight w:val="0"/>
          <w:marTop w:val="0"/>
          <w:marBottom w:val="0"/>
          <w:divBdr>
            <w:top w:val="none" w:sz="0" w:space="0" w:color="auto"/>
            <w:left w:val="none" w:sz="0" w:space="0" w:color="auto"/>
            <w:bottom w:val="none" w:sz="0" w:space="0" w:color="auto"/>
            <w:right w:val="none" w:sz="0" w:space="0" w:color="auto"/>
          </w:divBdr>
        </w:div>
      </w:divsChild>
    </w:div>
    <w:div w:id="318194979">
      <w:bodyDiv w:val="1"/>
      <w:marLeft w:val="0"/>
      <w:marRight w:val="0"/>
      <w:marTop w:val="0"/>
      <w:marBottom w:val="0"/>
      <w:divBdr>
        <w:top w:val="none" w:sz="0" w:space="0" w:color="auto"/>
        <w:left w:val="none" w:sz="0" w:space="0" w:color="auto"/>
        <w:bottom w:val="none" w:sz="0" w:space="0" w:color="auto"/>
        <w:right w:val="none" w:sz="0" w:space="0" w:color="auto"/>
      </w:divBdr>
    </w:div>
    <w:div w:id="348529352">
      <w:bodyDiv w:val="1"/>
      <w:marLeft w:val="0"/>
      <w:marRight w:val="0"/>
      <w:marTop w:val="0"/>
      <w:marBottom w:val="0"/>
      <w:divBdr>
        <w:top w:val="none" w:sz="0" w:space="0" w:color="auto"/>
        <w:left w:val="none" w:sz="0" w:space="0" w:color="auto"/>
        <w:bottom w:val="none" w:sz="0" w:space="0" w:color="auto"/>
        <w:right w:val="none" w:sz="0" w:space="0" w:color="auto"/>
      </w:divBdr>
    </w:div>
    <w:div w:id="400296803">
      <w:bodyDiv w:val="1"/>
      <w:marLeft w:val="0"/>
      <w:marRight w:val="0"/>
      <w:marTop w:val="0"/>
      <w:marBottom w:val="0"/>
      <w:divBdr>
        <w:top w:val="none" w:sz="0" w:space="0" w:color="auto"/>
        <w:left w:val="none" w:sz="0" w:space="0" w:color="auto"/>
        <w:bottom w:val="none" w:sz="0" w:space="0" w:color="auto"/>
        <w:right w:val="none" w:sz="0" w:space="0" w:color="auto"/>
      </w:divBdr>
    </w:div>
    <w:div w:id="458231106">
      <w:bodyDiv w:val="1"/>
      <w:marLeft w:val="0"/>
      <w:marRight w:val="0"/>
      <w:marTop w:val="0"/>
      <w:marBottom w:val="0"/>
      <w:divBdr>
        <w:top w:val="none" w:sz="0" w:space="0" w:color="auto"/>
        <w:left w:val="none" w:sz="0" w:space="0" w:color="auto"/>
        <w:bottom w:val="none" w:sz="0" w:space="0" w:color="auto"/>
        <w:right w:val="none" w:sz="0" w:space="0" w:color="auto"/>
      </w:divBdr>
      <w:divsChild>
        <w:div w:id="1442720184">
          <w:marLeft w:val="0"/>
          <w:marRight w:val="0"/>
          <w:marTop w:val="0"/>
          <w:marBottom w:val="0"/>
          <w:divBdr>
            <w:top w:val="none" w:sz="0" w:space="0" w:color="auto"/>
            <w:left w:val="none" w:sz="0" w:space="0" w:color="auto"/>
            <w:bottom w:val="none" w:sz="0" w:space="0" w:color="auto"/>
            <w:right w:val="none" w:sz="0" w:space="0" w:color="auto"/>
          </w:divBdr>
        </w:div>
      </w:divsChild>
    </w:div>
    <w:div w:id="502091962">
      <w:bodyDiv w:val="1"/>
      <w:marLeft w:val="0"/>
      <w:marRight w:val="0"/>
      <w:marTop w:val="0"/>
      <w:marBottom w:val="0"/>
      <w:divBdr>
        <w:top w:val="none" w:sz="0" w:space="0" w:color="auto"/>
        <w:left w:val="none" w:sz="0" w:space="0" w:color="auto"/>
        <w:bottom w:val="none" w:sz="0" w:space="0" w:color="auto"/>
        <w:right w:val="none" w:sz="0" w:space="0" w:color="auto"/>
      </w:divBdr>
    </w:div>
    <w:div w:id="513813028">
      <w:bodyDiv w:val="1"/>
      <w:marLeft w:val="0"/>
      <w:marRight w:val="0"/>
      <w:marTop w:val="0"/>
      <w:marBottom w:val="0"/>
      <w:divBdr>
        <w:top w:val="none" w:sz="0" w:space="0" w:color="auto"/>
        <w:left w:val="none" w:sz="0" w:space="0" w:color="auto"/>
        <w:bottom w:val="none" w:sz="0" w:space="0" w:color="auto"/>
        <w:right w:val="none" w:sz="0" w:space="0" w:color="auto"/>
      </w:divBdr>
      <w:divsChild>
        <w:div w:id="559176147">
          <w:marLeft w:val="0"/>
          <w:marRight w:val="0"/>
          <w:marTop w:val="0"/>
          <w:marBottom w:val="0"/>
          <w:divBdr>
            <w:top w:val="none" w:sz="0" w:space="0" w:color="auto"/>
            <w:left w:val="none" w:sz="0" w:space="0" w:color="auto"/>
            <w:bottom w:val="none" w:sz="0" w:space="0" w:color="auto"/>
            <w:right w:val="none" w:sz="0" w:space="0" w:color="auto"/>
          </w:divBdr>
        </w:div>
      </w:divsChild>
    </w:div>
    <w:div w:id="535434149">
      <w:bodyDiv w:val="1"/>
      <w:marLeft w:val="0"/>
      <w:marRight w:val="0"/>
      <w:marTop w:val="0"/>
      <w:marBottom w:val="0"/>
      <w:divBdr>
        <w:top w:val="none" w:sz="0" w:space="0" w:color="auto"/>
        <w:left w:val="none" w:sz="0" w:space="0" w:color="auto"/>
        <w:bottom w:val="none" w:sz="0" w:space="0" w:color="auto"/>
        <w:right w:val="none" w:sz="0" w:space="0" w:color="auto"/>
      </w:divBdr>
      <w:divsChild>
        <w:div w:id="792021585">
          <w:marLeft w:val="0"/>
          <w:marRight w:val="0"/>
          <w:marTop w:val="0"/>
          <w:marBottom w:val="0"/>
          <w:divBdr>
            <w:top w:val="none" w:sz="0" w:space="0" w:color="auto"/>
            <w:left w:val="none" w:sz="0" w:space="0" w:color="auto"/>
            <w:bottom w:val="none" w:sz="0" w:space="0" w:color="auto"/>
            <w:right w:val="none" w:sz="0" w:space="0" w:color="auto"/>
          </w:divBdr>
        </w:div>
      </w:divsChild>
    </w:div>
    <w:div w:id="563831520">
      <w:bodyDiv w:val="1"/>
      <w:marLeft w:val="0"/>
      <w:marRight w:val="0"/>
      <w:marTop w:val="0"/>
      <w:marBottom w:val="0"/>
      <w:divBdr>
        <w:top w:val="none" w:sz="0" w:space="0" w:color="auto"/>
        <w:left w:val="none" w:sz="0" w:space="0" w:color="auto"/>
        <w:bottom w:val="none" w:sz="0" w:space="0" w:color="auto"/>
        <w:right w:val="none" w:sz="0" w:space="0" w:color="auto"/>
      </w:divBdr>
      <w:divsChild>
        <w:div w:id="1428847512">
          <w:marLeft w:val="300"/>
          <w:marRight w:val="0"/>
          <w:marTop w:val="375"/>
          <w:marBottom w:val="225"/>
          <w:divBdr>
            <w:top w:val="none" w:sz="0" w:space="0" w:color="auto"/>
            <w:left w:val="none" w:sz="0" w:space="0" w:color="auto"/>
            <w:bottom w:val="none" w:sz="0" w:space="0" w:color="auto"/>
            <w:right w:val="none" w:sz="0" w:space="0" w:color="auto"/>
          </w:divBdr>
          <w:divsChild>
            <w:div w:id="372733032">
              <w:marLeft w:val="0"/>
              <w:marRight w:val="0"/>
              <w:marTop w:val="0"/>
              <w:marBottom w:val="0"/>
              <w:divBdr>
                <w:top w:val="none" w:sz="0" w:space="0" w:color="auto"/>
                <w:left w:val="none" w:sz="0" w:space="0" w:color="auto"/>
                <w:bottom w:val="none" w:sz="0" w:space="0" w:color="auto"/>
                <w:right w:val="none" w:sz="0" w:space="0" w:color="auto"/>
              </w:divBdr>
              <w:divsChild>
                <w:div w:id="1331522398">
                  <w:marLeft w:val="0"/>
                  <w:marRight w:val="0"/>
                  <w:marTop w:val="0"/>
                  <w:marBottom w:val="0"/>
                  <w:divBdr>
                    <w:top w:val="none" w:sz="0" w:space="0" w:color="auto"/>
                    <w:left w:val="none" w:sz="0" w:space="0" w:color="auto"/>
                    <w:bottom w:val="none" w:sz="0" w:space="0" w:color="auto"/>
                    <w:right w:val="none" w:sz="0" w:space="0" w:color="auto"/>
                  </w:divBdr>
                  <w:divsChild>
                    <w:div w:id="1063141372">
                      <w:marLeft w:val="0"/>
                      <w:marRight w:val="0"/>
                      <w:marTop w:val="0"/>
                      <w:marBottom w:val="0"/>
                      <w:divBdr>
                        <w:top w:val="none" w:sz="0" w:space="0" w:color="auto"/>
                        <w:left w:val="none" w:sz="0" w:space="0" w:color="auto"/>
                        <w:bottom w:val="none" w:sz="0" w:space="0" w:color="auto"/>
                        <w:right w:val="none" w:sz="0" w:space="0" w:color="auto"/>
                      </w:divBdr>
                      <w:divsChild>
                        <w:div w:id="1844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236225">
      <w:bodyDiv w:val="1"/>
      <w:marLeft w:val="0"/>
      <w:marRight w:val="0"/>
      <w:marTop w:val="0"/>
      <w:marBottom w:val="0"/>
      <w:divBdr>
        <w:top w:val="none" w:sz="0" w:space="0" w:color="auto"/>
        <w:left w:val="none" w:sz="0" w:space="0" w:color="auto"/>
        <w:bottom w:val="none" w:sz="0" w:space="0" w:color="auto"/>
        <w:right w:val="none" w:sz="0" w:space="0" w:color="auto"/>
      </w:divBdr>
      <w:divsChild>
        <w:div w:id="999769791">
          <w:marLeft w:val="0"/>
          <w:marRight w:val="0"/>
          <w:marTop w:val="0"/>
          <w:marBottom w:val="0"/>
          <w:divBdr>
            <w:top w:val="none" w:sz="0" w:space="0" w:color="auto"/>
            <w:left w:val="none" w:sz="0" w:space="0" w:color="auto"/>
            <w:bottom w:val="none" w:sz="0" w:space="0" w:color="auto"/>
            <w:right w:val="none" w:sz="0" w:space="0" w:color="auto"/>
          </w:divBdr>
          <w:divsChild>
            <w:div w:id="782769863">
              <w:marLeft w:val="225"/>
              <w:marRight w:val="225"/>
              <w:marTop w:val="225"/>
              <w:marBottom w:val="0"/>
              <w:divBdr>
                <w:top w:val="none" w:sz="0" w:space="0" w:color="auto"/>
                <w:left w:val="none" w:sz="0" w:space="0" w:color="auto"/>
                <w:bottom w:val="none" w:sz="0" w:space="0" w:color="auto"/>
                <w:right w:val="none" w:sz="0" w:space="0" w:color="auto"/>
              </w:divBdr>
              <w:divsChild>
                <w:div w:id="35974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264045">
      <w:bodyDiv w:val="1"/>
      <w:marLeft w:val="0"/>
      <w:marRight w:val="0"/>
      <w:marTop w:val="0"/>
      <w:marBottom w:val="0"/>
      <w:divBdr>
        <w:top w:val="none" w:sz="0" w:space="0" w:color="auto"/>
        <w:left w:val="none" w:sz="0" w:space="0" w:color="auto"/>
        <w:bottom w:val="none" w:sz="0" w:space="0" w:color="auto"/>
        <w:right w:val="none" w:sz="0" w:space="0" w:color="auto"/>
      </w:divBdr>
      <w:divsChild>
        <w:div w:id="405029477">
          <w:marLeft w:val="0"/>
          <w:marRight w:val="0"/>
          <w:marTop w:val="0"/>
          <w:marBottom w:val="0"/>
          <w:divBdr>
            <w:top w:val="none" w:sz="0" w:space="0" w:color="auto"/>
            <w:left w:val="none" w:sz="0" w:space="0" w:color="auto"/>
            <w:bottom w:val="none" w:sz="0" w:space="0" w:color="auto"/>
            <w:right w:val="none" w:sz="0" w:space="0" w:color="auto"/>
          </w:divBdr>
        </w:div>
      </w:divsChild>
    </w:div>
    <w:div w:id="998077761">
      <w:bodyDiv w:val="1"/>
      <w:marLeft w:val="0"/>
      <w:marRight w:val="0"/>
      <w:marTop w:val="0"/>
      <w:marBottom w:val="0"/>
      <w:divBdr>
        <w:top w:val="none" w:sz="0" w:space="0" w:color="auto"/>
        <w:left w:val="none" w:sz="0" w:space="0" w:color="auto"/>
        <w:bottom w:val="none" w:sz="0" w:space="0" w:color="auto"/>
        <w:right w:val="none" w:sz="0" w:space="0" w:color="auto"/>
      </w:divBdr>
      <w:divsChild>
        <w:div w:id="1437753896">
          <w:marLeft w:val="300"/>
          <w:marRight w:val="0"/>
          <w:marTop w:val="375"/>
          <w:marBottom w:val="225"/>
          <w:divBdr>
            <w:top w:val="none" w:sz="0" w:space="0" w:color="auto"/>
            <w:left w:val="none" w:sz="0" w:space="0" w:color="auto"/>
            <w:bottom w:val="none" w:sz="0" w:space="0" w:color="auto"/>
            <w:right w:val="none" w:sz="0" w:space="0" w:color="auto"/>
          </w:divBdr>
          <w:divsChild>
            <w:div w:id="885683494">
              <w:marLeft w:val="0"/>
              <w:marRight w:val="0"/>
              <w:marTop w:val="0"/>
              <w:marBottom w:val="0"/>
              <w:divBdr>
                <w:top w:val="none" w:sz="0" w:space="0" w:color="auto"/>
                <w:left w:val="none" w:sz="0" w:space="0" w:color="auto"/>
                <w:bottom w:val="none" w:sz="0" w:space="0" w:color="auto"/>
                <w:right w:val="none" w:sz="0" w:space="0" w:color="auto"/>
              </w:divBdr>
              <w:divsChild>
                <w:div w:id="593175973">
                  <w:marLeft w:val="0"/>
                  <w:marRight w:val="0"/>
                  <w:marTop w:val="0"/>
                  <w:marBottom w:val="0"/>
                  <w:divBdr>
                    <w:top w:val="none" w:sz="0" w:space="0" w:color="auto"/>
                    <w:left w:val="none" w:sz="0" w:space="0" w:color="auto"/>
                    <w:bottom w:val="none" w:sz="0" w:space="0" w:color="auto"/>
                    <w:right w:val="none" w:sz="0" w:space="0" w:color="auto"/>
                  </w:divBdr>
                  <w:divsChild>
                    <w:div w:id="30232622">
                      <w:marLeft w:val="0"/>
                      <w:marRight w:val="0"/>
                      <w:marTop w:val="0"/>
                      <w:marBottom w:val="0"/>
                      <w:divBdr>
                        <w:top w:val="none" w:sz="0" w:space="0" w:color="auto"/>
                        <w:left w:val="none" w:sz="0" w:space="0" w:color="auto"/>
                        <w:bottom w:val="none" w:sz="0" w:space="0" w:color="auto"/>
                        <w:right w:val="none" w:sz="0" w:space="0" w:color="auto"/>
                      </w:divBdr>
                      <w:divsChild>
                        <w:div w:id="41448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085543">
      <w:bodyDiv w:val="1"/>
      <w:marLeft w:val="0"/>
      <w:marRight w:val="0"/>
      <w:marTop w:val="0"/>
      <w:marBottom w:val="0"/>
      <w:divBdr>
        <w:top w:val="none" w:sz="0" w:space="0" w:color="auto"/>
        <w:left w:val="none" w:sz="0" w:space="0" w:color="auto"/>
        <w:bottom w:val="none" w:sz="0" w:space="0" w:color="auto"/>
        <w:right w:val="none" w:sz="0" w:space="0" w:color="auto"/>
      </w:divBdr>
    </w:div>
    <w:div w:id="1025137464">
      <w:bodyDiv w:val="1"/>
      <w:marLeft w:val="0"/>
      <w:marRight w:val="0"/>
      <w:marTop w:val="0"/>
      <w:marBottom w:val="0"/>
      <w:divBdr>
        <w:top w:val="none" w:sz="0" w:space="0" w:color="auto"/>
        <w:left w:val="none" w:sz="0" w:space="0" w:color="auto"/>
        <w:bottom w:val="none" w:sz="0" w:space="0" w:color="auto"/>
        <w:right w:val="none" w:sz="0" w:space="0" w:color="auto"/>
      </w:divBdr>
    </w:div>
    <w:div w:id="1094134835">
      <w:bodyDiv w:val="1"/>
      <w:marLeft w:val="0"/>
      <w:marRight w:val="0"/>
      <w:marTop w:val="0"/>
      <w:marBottom w:val="0"/>
      <w:divBdr>
        <w:top w:val="none" w:sz="0" w:space="0" w:color="auto"/>
        <w:left w:val="none" w:sz="0" w:space="0" w:color="auto"/>
        <w:bottom w:val="none" w:sz="0" w:space="0" w:color="auto"/>
        <w:right w:val="none" w:sz="0" w:space="0" w:color="auto"/>
      </w:divBdr>
    </w:div>
    <w:div w:id="1104224690">
      <w:bodyDiv w:val="1"/>
      <w:marLeft w:val="0"/>
      <w:marRight w:val="0"/>
      <w:marTop w:val="0"/>
      <w:marBottom w:val="0"/>
      <w:divBdr>
        <w:top w:val="none" w:sz="0" w:space="0" w:color="auto"/>
        <w:left w:val="none" w:sz="0" w:space="0" w:color="auto"/>
        <w:bottom w:val="none" w:sz="0" w:space="0" w:color="auto"/>
        <w:right w:val="none" w:sz="0" w:space="0" w:color="auto"/>
      </w:divBdr>
    </w:div>
    <w:div w:id="1127553158">
      <w:bodyDiv w:val="1"/>
      <w:marLeft w:val="0"/>
      <w:marRight w:val="0"/>
      <w:marTop w:val="0"/>
      <w:marBottom w:val="0"/>
      <w:divBdr>
        <w:top w:val="none" w:sz="0" w:space="0" w:color="auto"/>
        <w:left w:val="none" w:sz="0" w:space="0" w:color="auto"/>
        <w:bottom w:val="none" w:sz="0" w:space="0" w:color="auto"/>
        <w:right w:val="none" w:sz="0" w:space="0" w:color="auto"/>
      </w:divBdr>
      <w:divsChild>
        <w:div w:id="504783974">
          <w:marLeft w:val="0"/>
          <w:marRight w:val="0"/>
          <w:marTop w:val="0"/>
          <w:marBottom w:val="0"/>
          <w:divBdr>
            <w:top w:val="none" w:sz="0" w:space="0" w:color="auto"/>
            <w:left w:val="none" w:sz="0" w:space="0" w:color="auto"/>
            <w:bottom w:val="none" w:sz="0" w:space="0" w:color="auto"/>
            <w:right w:val="none" w:sz="0" w:space="0" w:color="auto"/>
          </w:divBdr>
        </w:div>
      </w:divsChild>
    </w:div>
    <w:div w:id="1306623869">
      <w:bodyDiv w:val="1"/>
      <w:marLeft w:val="0"/>
      <w:marRight w:val="0"/>
      <w:marTop w:val="0"/>
      <w:marBottom w:val="0"/>
      <w:divBdr>
        <w:top w:val="none" w:sz="0" w:space="0" w:color="auto"/>
        <w:left w:val="none" w:sz="0" w:space="0" w:color="auto"/>
        <w:bottom w:val="none" w:sz="0" w:space="0" w:color="auto"/>
        <w:right w:val="none" w:sz="0" w:space="0" w:color="auto"/>
      </w:divBdr>
    </w:div>
    <w:div w:id="1308583911">
      <w:bodyDiv w:val="1"/>
      <w:marLeft w:val="0"/>
      <w:marRight w:val="0"/>
      <w:marTop w:val="0"/>
      <w:marBottom w:val="0"/>
      <w:divBdr>
        <w:top w:val="none" w:sz="0" w:space="0" w:color="auto"/>
        <w:left w:val="none" w:sz="0" w:space="0" w:color="auto"/>
        <w:bottom w:val="none" w:sz="0" w:space="0" w:color="auto"/>
        <w:right w:val="none" w:sz="0" w:space="0" w:color="auto"/>
      </w:divBdr>
      <w:divsChild>
        <w:div w:id="938174133">
          <w:marLeft w:val="300"/>
          <w:marRight w:val="0"/>
          <w:marTop w:val="375"/>
          <w:marBottom w:val="225"/>
          <w:divBdr>
            <w:top w:val="none" w:sz="0" w:space="0" w:color="auto"/>
            <w:left w:val="none" w:sz="0" w:space="0" w:color="auto"/>
            <w:bottom w:val="none" w:sz="0" w:space="0" w:color="auto"/>
            <w:right w:val="none" w:sz="0" w:space="0" w:color="auto"/>
          </w:divBdr>
          <w:divsChild>
            <w:div w:id="1640377308">
              <w:marLeft w:val="0"/>
              <w:marRight w:val="0"/>
              <w:marTop w:val="0"/>
              <w:marBottom w:val="0"/>
              <w:divBdr>
                <w:top w:val="none" w:sz="0" w:space="0" w:color="auto"/>
                <w:left w:val="none" w:sz="0" w:space="0" w:color="auto"/>
                <w:bottom w:val="none" w:sz="0" w:space="0" w:color="auto"/>
                <w:right w:val="none" w:sz="0" w:space="0" w:color="auto"/>
              </w:divBdr>
              <w:divsChild>
                <w:div w:id="1479572504">
                  <w:marLeft w:val="0"/>
                  <w:marRight w:val="0"/>
                  <w:marTop w:val="0"/>
                  <w:marBottom w:val="0"/>
                  <w:divBdr>
                    <w:top w:val="none" w:sz="0" w:space="0" w:color="auto"/>
                    <w:left w:val="none" w:sz="0" w:space="0" w:color="auto"/>
                    <w:bottom w:val="none" w:sz="0" w:space="0" w:color="auto"/>
                    <w:right w:val="none" w:sz="0" w:space="0" w:color="auto"/>
                  </w:divBdr>
                  <w:divsChild>
                    <w:div w:id="1876389314">
                      <w:marLeft w:val="0"/>
                      <w:marRight w:val="0"/>
                      <w:marTop w:val="0"/>
                      <w:marBottom w:val="0"/>
                      <w:divBdr>
                        <w:top w:val="none" w:sz="0" w:space="0" w:color="auto"/>
                        <w:left w:val="none" w:sz="0" w:space="0" w:color="auto"/>
                        <w:bottom w:val="none" w:sz="0" w:space="0" w:color="auto"/>
                        <w:right w:val="none" w:sz="0" w:space="0" w:color="auto"/>
                      </w:divBdr>
                      <w:divsChild>
                        <w:div w:id="13830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980479">
      <w:bodyDiv w:val="1"/>
      <w:marLeft w:val="0"/>
      <w:marRight w:val="0"/>
      <w:marTop w:val="0"/>
      <w:marBottom w:val="0"/>
      <w:divBdr>
        <w:top w:val="none" w:sz="0" w:space="0" w:color="auto"/>
        <w:left w:val="none" w:sz="0" w:space="0" w:color="auto"/>
        <w:bottom w:val="none" w:sz="0" w:space="0" w:color="auto"/>
        <w:right w:val="none" w:sz="0" w:space="0" w:color="auto"/>
      </w:divBdr>
    </w:div>
    <w:div w:id="1324428761">
      <w:bodyDiv w:val="1"/>
      <w:marLeft w:val="0"/>
      <w:marRight w:val="0"/>
      <w:marTop w:val="0"/>
      <w:marBottom w:val="0"/>
      <w:divBdr>
        <w:top w:val="none" w:sz="0" w:space="0" w:color="auto"/>
        <w:left w:val="none" w:sz="0" w:space="0" w:color="auto"/>
        <w:bottom w:val="none" w:sz="0" w:space="0" w:color="auto"/>
        <w:right w:val="none" w:sz="0" w:space="0" w:color="auto"/>
      </w:divBdr>
    </w:div>
    <w:div w:id="1386174268">
      <w:bodyDiv w:val="1"/>
      <w:marLeft w:val="0"/>
      <w:marRight w:val="0"/>
      <w:marTop w:val="0"/>
      <w:marBottom w:val="0"/>
      <w:divBdr>
        <w:top w:val="none" w:sz="0" w:space="0" w:color="auto"/>
        <w:left w:val="none" w:sz="0" w:space="0" w:color="auto"/>
        <w:bottom w:val="none" w:sz="0" w:space="0" w:color="auto"/>
        <w:right w:val="none" w:sz="0" w:space="0" w:color="auto"/>
      </w:divBdr>
      <w:divsChild>
        <w:div w:id="1808160473">
          <w:marLeft w:val="0"/>
          <w:marRight w:val="0"/>
          <w:marTop w:val="0"/>
          <w:marBottom w:val="0"/>
          <w:divBdr>
            <w:top w:val="none" w:sz="0" w:space="0" w:color="auto"/>
            <w:left w:val="none" w:sz="0" w:space="0" w:color="auto"/>
            <w:bottom w:val="none" w:sz="0" w:space="0" w:color="auto"/>
            <w:right w:val="none" w:sz="0" w:space="0" w:color="auto"/>
          </w:divBdr>
        </w:div>
      </w:divsChild>
    </w:div>
    <w:div w:id="1548448572">
      <w:bodyDiv w:val="1"/>
      <w:marLeft w:val="0"/>
      <w:marRight w:val="0"/>
      <w:marTop w:val="0"/>
      <w:marBottom w:val="0"/>
      <w:divBdr>
        <w:top w:val="none" w:sz="0" w:space="0" w:color="auto"/>
        <w:left w:val="none" w:sz="0" w:space="0" w:color="auto"/>
        <w:bottom w:val="none" w:sz="0" w:space="0" w:color="auto"/>
        <w:right w:val="none" w:sz="0" w:space="0" w:color="auto"/>
      </w:divBdr>
    </w:div>
    <w:div w:id="1609854283">
      <w:bodyDiv w:val="1"/>
      <w:marLeft w:val="0"/>
      <w:marRight w:val="0"/>
      <w:marTop w:val="0"/>
      <w:marBottom w:val="0"/>
      <w:divBdr>
        <w:top w:val="none" w:sz="0" w:space="0" w:color="auto"/>
        <w:left w:val="none" w:sz="0" w:space="0" w:color="auto"/>
        <w:bottom w:val="none" w:sz="0" w:space="0" w:color="auto"/>
        <w:right w:val="none" w:sz="0" w:space="0" w:color="auto"/>
      </w:divBdr>
    </w:div>
    <w:div w:id="1744790882">
      <w:bodyDiv w:val="1"/>
      <w:marLeft w:val="0"/>
      <w:marRight w:val="0"/>
      <w:marTop w:val="0"/>
      <w:marBottom w:val="0"/>
      <w:divBdr>
        <w:top w:val="none" w:sz="0" w:space="0" w:color="auto"/>
        <w:left w:val="none" w:sz="0" w:space="0" w:color="auto"/>
        <w:bottom w:val="none" w:sz="0" w:space="0" w:color="auto"/>
        <w:right w:val="none" w:sz="0" w:space="0" w:color="auto"/>
      </w:divBdr>
      <w:divsChild>
        <w:div w:id="1409764587">
          <w:marLeft w:val="0"/>
          <w:marRight w:val="0"/>
          <w:marTop w:val="0"/>
          <w:marBottom w:val="0"/>
          <w:divBdr>
            <w:top w:val="none" w:sz="0" w:space="0" w:color="auto"/>
            <w:left w:val="none" w:sz="0" w:space="0" w:color="auto"/>
            <w:bottom w:val="none" w:sz="0" w:space="0" w:color="auto"/>
            <w:right w:val="none" w:sz="0" w:space="0" w:color="auto"/>
          </w:divBdr>
          <w:divsChild>
            <w:div w:id="1232929810">
              <w:marLeft w:val="0"/>
              <w:marRight w:val="0"/>
              <w:marTop w:val="0"/>
              <w:marBottom w:val="0"/>
              <w:divBdr>
                <w:top w:val="none" w:sz="0" w:space="0" w:color="auto"/>
                <w:left w:val="none" w:sz="0" w:space="0" w:color="auto"/>
                <w:bottom w:val="none" w:sz="0" w:space="0" w:color="auto"/>
                <w:right w:val="none" w:sz="0" w:space="0" w:color="auto"/>
              </w:divBdr>
            </w:div>
            <w:div w:id="1060325842">
              <w:marLeft w:val="0"/>
              <w:marRight w:val="0"/>
              <w:marTop w:val="0"/>
              <w:marBottom w:val="0"/>
              <w:divBdr>
                <w:top w:val="none" w:sz="0" w:space="0" w:color="auto"/>
                <w:left w:val="none" w:sz="0" w:space="0" w:color="auto"/>
                <w:bottom w:val="none" w:sz="0" w:space="0" w:color="auto"/>
                <w:right w:val="none" w:sz="0" w:space="0" w:color="auto"/>
              </w:divBdr>
            </w:div>
            <w:div w:id="750350526">
              <w:marLeft w:val="0"/>
              <w:marRight w:val="0"/>
              <w:marTop w:val="0"/>
              <w:marBottom w:val="0"/>
              <w:divBdr>
                <w:top w:val="none" w:sz="0" w:space="0" w:color="auto"/>
                <w:left w:val="none" w:sz="0" w:space="0" w:color="auto"/>
                <w:bottom w:val="none" w:sz="0" w:space="0" w:color="auto"/>
                <w:right w:val="none" w:sz="0" w:space="0" w:color="auto"/>
              </w:divBdr>
            </w:div>
            <w:div w:id="1163164005">
              <w:marLeft w:val="0"/>
              <w:marRight w:val="0"/>
              <w:marTop w:val="0"/>
              <w:marBottom w:val="0"/>
              <w:divBdr>
                <w:top w:val="none" w:sz="0" w:space="0" w:color="auto"/>
                <w:left w:val="none" w:sz="0" w:space="0" w:color="auto"/>
                <w:bottom w:val="none" w:sz="0" w:space="0" w:color="auto"/>
                <w:right w:val="none" w:sz="0" w:space="0" w:color="auto"/>
              </w:divBdr>
            </w:div>
            <w:div w:id="836263138">
              <w:marLeft w:val="0"/>
              <w:marRight w:val="0"/>
              <w:marTop w:val="0"/>
              <w:marBottom w:val="0"/>
              <w:divBdr>
                <w:top w:val="none" w:sz="0" w:space="0" w:color="auto"/>
                <w:left w:val="none" w:sz="0" w:space="0" w:color="auto"/>
                <w:bottom w:val="none" w:sz="0" w:space="0" w:color="auto"/>
                <w:right w:val="none" w:sz="0" w:space="0" w:color="auto"/>
              </w:divBdr>
            </w:div>
            <w:div w:id="1832911354">
              <w:marLeft w:val="0"/>
              <w:marRight w:val="0"/>
              <w:marTop w:val="0"/>
              <w:marBottom w:val="0"/>
              <w:divBdr>
                <w:top w:val="none" w:sz="0" w:space="0" w:color="auto"/>
                <w:left w:val="none" w:sz="0" w:space="0" w:color="auto"/>
                <w:bottom w:val="none" w:sz="0" w:space="0" w:color="auto"/>
                <w:right w:val="none" w:sz="0" w:space="0" w:color="auto"/>
              </w:divBdr>
            </w:div>
            <w:div w:id="1402947823">
              <w:marLeft w:val="0"/>
              <w:marRight w:val="0"/>
              <w:marTop w:val="0"/>
              <w:marBottom w:val="0"/>
              <w:divBdr>
                <w:top w:val="none" w:sz="0" w:space="0" w:color="auto"/>
                <w:left w:val="none" w:sz="0" w:space="0" w:color="auto"/>
                <w:bottom w:val="none" w:sz="0" w:space="0" w:color="auto"/>
                <w:right w:val="none" w:sz="0" w:space="0" w:color="auto"/>
              </w:divBdr>
            </w:div>
            <w:div w:id="80031182">
              <w:marLeft w:val="0"/>
              <w:marRight w:val="0"/>
              <w:marTop w:val="0"/>
              <w:marBottom w:val="0"/>
              <w:divBdr>
                <w:top w:val="none" w:sz="0" w:space="0" w:color="auto"/>
                <w:left w:val="none" w:sz="0" w:space="0" w:color="auto"/>
                <w:bottom w:val="none" w:sz="0" w:space="0" w:color="auto"/>
                <w:right w:val="none" w:sz="0" w:space="0" w:color="auto"/>
              </w:divBdr>
            </w:div>
            <w:div w:id="1408923159">
              <w:marLeft w:val="0"/>
              <w:marRight w:val="0"/>
              <w:marTop w:val="0"/>
              <w:marBottom w:val="0"/>
              <w:divBdr>
                <w:top w:val="none" w:sz="0" w:space="0" w:color="auto"/>
                <w:left w:val="none" w:sz="0" w:space="0" w:color="auto"/>
                <w:bottom w:val="none" w:sz="0" w:space="0" w:color="auto"/>
                <w:right w:val="none" w:sz="0" w:space="0" w:color="auto"/>
              </w:divBdr>
            </w:div>
            <w:div w:id="1918322760">
              <w:marLeft w:val="0"/>
              <w:marRight w:val="0"/>
              <w:marTop w:val="0"/>
              <w:marBottom w:val="0"/>
              <w:divBdr>
                <w:top w:val="none" w:sz="0" w:space="0" w:color="auto"/>
                <w:left w:val="none" w:sz="0" w:space="0" w:color="auto"/>
                <w:bottom w:val="none" w:sz="0" w:space="0" w:color="auto"/>
                <w:right w:val="none" w:sz="0" w:space="0" w:color="auto"/>
              </w:divBdr>
            </w:div>
            <w:div w:id="224293569">
              <w:marLeft w:val="0"/>
              <w:marRight w:val="0"/>
              <w:marTop w:val="0"/>
              <w:marBottom w:val="0"/>
              <w:divBdr>
                <w:top w:val="none" w:sz="0" w:space="0" w:color="auto"/>
                <w:left w:val="none" w:sz="0" w:space="0" w:color="auto"/>
                <w:bottom w:val="none" w:sz="0" w:space="0" w:color="auto"/>
                <w:right w:val="none" w:sz="0" w:space="0" w:color="auto"/>
              </w:divBdr>
            </w:div>
            <w:div w:id="4850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6455">
      <w:bodyDiv w:val="1"/>
      <w:marLeft w:val="0"/>
      <w:marRight w:val="0"/>
      <w:marTop w:val="0"/>
      <w:marBottom w:val="0"/>
      <w:divBdr>
        <w:top w:val="none" w:sz="0" w:space="0" w:color="auto"/>
        <w:left w:val="none" w:sz="0" w:space="0" w:color="auto"/>
        <w:bottom w:val="none" w:sz="0" w:space="0" w:color="auto"/>
        <w:right w:val="none" w:sz="0" w:space="0" w:color="auto"/>
      </w:divBdr>
      <w:divsChild>
        <w:div w:id="853149769">
          <w:marLeft w:val="300"/>
          <w:marRight w:val="0"/>
          <w:marTop w:val="375"/>
          <w:marBottom w:val="225"/>
          <w:divBdr>
            <w:top w:val="none" w:sz="0" w:space="0" w:color="auto"/>
            <w:left w:val="none" w:sz="0" w:space="0" w:color="auto"/>
            <w:bottom w:val="none" w:sz="0" w:space="0" w:color="auto"/>
            <w:right w:val="none" w:sz="0" w:space="0" w:color="auto"/>
          </w:divBdr>
          <w:divsChild>
            <w:div w:id="2076850094">
              <w:marLeft w:val="0"/>
              <w:marRight w:val="0"/>
              <w:marTop w:val="0"/>
              <w:marBottom w:val="0"/>
              <w:divBdr>
                <w:top w:val="none" w:sz="0" w:space="0" w:color="auto"/>
                <w:left w:val="none" w:sz="0" w:space="0" w:color="auto"/>
                <w:bottom w:val="none" w:sz="0" w:space="0" w:color="auto"/>
                <w:right w:val="none" w:sz="0" w:space="0" w:color="auto"/>
              </w:divBdr>
              <w:divsChild>
                <w:div w:id="1944609018">
                  <w:marLeft w:val="0"/>
                  <w:marRight w:val="0"/>
                  <w:marTop w:val="0"/>
                  <w:marBottom w:val="0"/>
                  <w:divBdr>
                    <w:top w:val="none" w:sz="0" w:space="0" w:color="auto"/>
                    <w:left w:val="none" w:sz="0" w:space="0" w:color="auto"/>
                    <w:bottom w:val="none" w:sz="0" w:space="0" w:color="auto"/>
                    <w:right w:val="none" w:sz="0" w:space="0" w:color="auto"/>
                  </w:divBdr>
                  <w:divsChild>
                    <w:div w:id="780955989">
                      <w:marLeft w:val="0"/>
                      <w:marRight w:val="0"/>
                      <w:marTop w:val="0"/>
                      <w:marBottom w:val="0"/>
                      <w:divBdr>
                        <w:top w:val="none" w:sz="0" w:space="0" w:color="auto"/>
                        <w:left w:val="none" w:sz="0" w:space="0" w:color="auto"/>
                        <w:bottom w:val="none" w:sz="0" w:space="0" w:color="auto"/>
                        <w:right w:val="none" w:sz="0" w:space="0" w:color="auto"/>
                      </w:divBdr>
                      <w:divsChild>
                        <w:div w:id="150956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064398">
      <w:bodyDiv w:val="1"/>
      <w:marLeft w:val="0"/>
      <w:marRight w:val="0"/>
      <w:marTop w:val="0"/>
      <w:marBottom w:val="0"/>
      <w:divBdr>
        <w:top w:val="none" w:sz="0" w:space="0" w:color="auto"/>
        <w:left w:val="none" w:sz="0" w:space="0" w:color="auto"/>
        <w:bottom w:val="none" w:sz="0" w:space="0" w:color="auto"/>
        <w:right w:val="none" w:sz="0" w:space="0" w:color="auto"/>
      </w:divBdr>
      <w:divsChild>
        <w:div w:id="1734354722">
          <w:marLeft w:val="0"/>
          <w:marRight w:val="0"/>
          <w:marTop w:val="0"/>
          <w:marBottom w:val="0"/>
          <w:divBdr>
            <w:top w:val="none" w:sz="0" w:space="0" w:color="auto"/>
            <w:left w:val="none" w:sz="0" w:space="0" w:color="auto"/>
            <w:bottom w:val="none" w:sz="0" w:space="0" w:color="auto"/>
            <w:right w:val="none" w:sz="0" w:space="0" w:color="auto"/>
          </w:divBdr>
        </w:div>
      </w:divsChild>
    </w:div>
    <w:div w:id="1770082772">
      <w:bodyDiv w:val="1"/>
      <w:marLeft w:val="0"/>
      <w:marRight w:val="0"/>
      <w:marTop w:val="0"/>
      <w:marBottom w:val="0"/>
      <w:divBdr>
        <w:top w:val="none" w:sz="0" w:space="0" w:color="auto"/>
        <w:left w:val="none" w:sz="0" w:space="0" w:color="auto"/>
        <w:bottom w:val="none" w:sz="0" w:space="0" w:color="auto"/>
        <w:right w:val="none" w:sz="0" w:space="0" w:color="auto"/>
      </w:divBdr>
      <w:divsChild>
        <w:div w:id="1259175434">
          <w:marLeft w:val="0"/>
          <w:marRight w:val="0"/>
          <w:marTop w:val="0"/>
          <w:marBottom w:val="0"/>
          <w:divBdr>
            <w:top w:val="none" w:sz="0" w:space="0" w:color="auto"/>
            <w:left w:val="none" w:sz="0" w:space="0" w:color="auto"/>
            <w:bottom w:val="none" w:sz="0" w:space="0" w:color="auto"/>
            <w:right w:val="none" w:sz="0" w:space="0" w:color="auto"/>
          </w:divBdr>
        </w:div>
      </w:divsChild>
    </w:div>
    <w:div w:id="1795440556">
      <w:bodyDiv w:val="1"/>
      <w:marLeft w:val="0"/>
      <w:marRight w:val="0"/>
      <w:marTop w:val="0"/>
      <w:marBottom w:val="0"/>
      <w:divBdr>
        <w:top w:val="none" w:sz="0" w:space="0" w:color="auto"/>
        <w:left w:val="none" w:sz="0" w:space="0" w:color="auto"/>
        <w:bottom w:val="none" w:sz="0" w:space="0" w:color="auto"/>
        <w:right w:val="none" w:sz="0" w:space="0" w:color="auto"/>
      </w:divBdr>
    </w:div>
    <w:div w:id="1830361268">
      <w:bodyDiv w:val="1"/>
      <w:marLeft w:val="0"/>
      <w:marRight w:val="0"/>
      <w:marTop w:val="0"/>
      <w:marBottom w:val="0"/>
      <w:divBdr>
        <w:top w:val="none" w:sz="0" w:space="0" w:color="auto"/>
        <w:left w:val="none" w:sz="0" w:space="0" w:color="auto"/>
        <w:bottom w:val="none" w:sz="0" w:space="0" w:color="auto"/>
        <w:right w:val="none" w:sz="0" w:space="0" w:color="auto"/>
      </w:divBdr>
      <w:divsChild>
        <w:div w:id="1503281600">
          <w:marLeft w:val="0"/>
          <w:marRight w:val="0"/>
          <w:marTop w:val="0"/>
          <w:marBottom w:val="0"/>
          <w:divBdr>
            <w:top w:val="none" w:sz="0" w:space="0" w:color="auto"/>
            <w:left w:val="none" w:sz="0" w:space="0" w:color="auto"/>
            <w:bottom w:val="none" w:sz="0" w:space="0" w:color="auto"/>
            <w:right w:val="none" w:sz="0" w:space="0" w:color="auto"/>
          </w:divBdr>
        </w:div>
      </w:divsChild>
    </w:div>
    <w:div w:id="1841576859">
      <w:bodyDiv w:val="1"/>
      <w:marLeft w:val="0"/>
      <w:marRight w:val="0"/>
      <w:marTop w:val="0"/>
      <w:marBottom w:val="0"/>
      <w:divBdr>
        <w:top w:val="none" w:sz="0" w:space="0" w:color="auto"/>
        <w:left w:val="none" w:sz="0" w:space="0" w:color="auto"/>
        <w:bottom w:val="none" w:sz="0" w:space="0" w:color="auto"/>
        <w:right w:val="none" w:sz="0" w:space="0" w:color="auto"/>
      </w:divBdr>
    </w:div>
    <w:div w:id="1960405541">
      <w:bodyDiv w:val="1"/>
      <w:marLeft w:val="0"/>
      <w:marRight w:val="0"/>
      <w:marTop w:val="0"/>
      <w:marBottom w:val="0"/>
      <w:divBdr>
        <w:top w:val="none" w:sz="0" w:space="0" w:color="auto"/>
        <w:left w:val="none" w:sz="0" w:space="0" w:color="auto"/>
        <w:bottom w:val="none" w:sz="0" w:space="0" w:color="auto"/>
        <w:right w:val="none" w:sz="0" w:space="0" w:color="auto"/>
      </w:divBdr>
    </w:div>
    <w:div w:id="2002460037">
      <w:bodyDiv w:val="1"/>
      <w:marLeft w:val="0"/>
      <w:marRight w:val="0"/>
      <w:marTop w:val="0"/>
      <w:marBottom w:val="0"/>
      <w:divBdr>
        <w:top w:val="none" w:sz="0" w:space="0" w:color="auto"/>
        <w:left w:val="none" w:sz="0" w:space="0" w:color="auto"/>
        <w:bottom w:val="none" w:sz="0" w:space="0" w:color="auto"/>
        <w:right w:val="none" w:sz="0" w:space="0" w:color="auto"/>
      </w:divBdr>
      <w:divsChild>
        <w:div w:id="86657359">
          <w:marLeft w:val="0"/>
          <w:marRight w:val="0"/>
          <w:marTop w:val="0"/>
          <w:marBottom w:val="0"/>
          <w:divBdr>
            <w:top w:val="none" w:sz="0" w:space="0" w:color="auto"/>
            <w:left w:val="none" w:sz="0" w:space="0" w:color="auto"/>
            <w:bottom w:val="none" w:sz="0" w:space="0" w:color="auto"/>
            <w:right w:val="none" w:sz="0" w:space="0" w:color="auto"/>
          </w:divBdr>
        </w:div>
      </w:divsChild>
    </w:div>
    <w:div w:id="2019967261">
      <w:bodyDiv w:val="1"/>
      <w:marLeft w:val="0"/>
      <w:marRight w:val="0"/>
      <w:marTop w:val="0"/>
      <w:marBottom w:val="0"/>
      <w:divBdr>
        <w:top w:val="none" w:sz="0" w:space="0" w:color="auto"/>
        <w:left w:val="none" w:sz="0" w:space="0" w:color="auto"/>
        <w:bottom w:val="none" w:sz="0" w:space="0" w:color="auto"/>
        <w:right w:val="none" w:sz="0" w:space="0" w:color="auto"/>
      </w:divBdr>
    </w:div>
    <w:div w:id="2043745470">
      <w:bodyDiv w:val="1"/>
      <w:marLeft w:val="0"/>
      <w:marRight w:val="0"/>
      <w:marTop w:val="0"/>
      <w:marBottom w:val="0"/>
      <w:divBdr>
        <w:top w:val="none" w:sz="0" w:space="0" w:color="auto"/>
        <w:left w:val="none" w:sz="0" w:space="0" w:color="auto"/>
        <w:bottom w:val="none" w:sz="0" w:space="0" w:color="auto"/>
        <w:right w:val="none" w:sz="0" w:space="0" w:color="auto"/>
      </w:divBdr>
    </w:div>
    <w:div w:id="2089422061">
      <w:bodyDiv w:val="1"/>
      <w:marLeft w:val="0"/>
      <w:marRight w:val="0"/>
      <w:marTop w:val="0"/>
      <w:marBottom w:val="0"/>
      <w:divBdr>
        <w:top w:val="none" w:sz="0" w:space="0" w:color="auto"/>
        <w:left w:val="none" w:sz="0" w:space="0" w:color="auto"/>
        <w:bottom w:val="none" w:sz="0" w:space="0" w:color="auto"/>
        <w:right w:val="none" w:sz="0" w:space="0" w:color="auto"/>
      </w:divBdr>
    </w:div>
    <w:div w:id="213235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asc.army.mil/web/pioneering-new-paths/" TargetMode="External" Id="rId13" /><Relationship Type="http://schemas.openxmlformats.org/officeDocument/2006/relationships/image" Target="media/image3.emf"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image" Target="media/image2.png"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image" Target="media/image1.png" Id="rId15" /><Relationship Type="http://schemas.openxmlformats.org/officeDocument/2006/relationships/endnotes" Target="endnotes.xml" Id="rId10" /><Relationship Type="http://schemas.openxmlformats.org/officeDocument/2006/relationships/oleObject" Target="embeddings/oleObject1.bin"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law.cornell.edu/uscode/text/10/2392" TargetMode="External" Id="rId14"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loss\AppData\Local\Microsoft\Olk\Attachments\ooa-d71f5013-2ba5-4a18-8db0-75684e683164\9b204d8a830fab2e0b64e1914c1dc33a2759aa9ffef2f2d12b0a36165e205bee\63ff7ae987f12be29c7ecf55ad861b8c811d0c339894554da737714731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DDEDBD8FCDE849B9EC869A11D3DAFD" ma:contentTypeVersion="19" ma:contentTypeDescription="Create a new document." ma:contentTypeScope="" ma:versionID="7109adbbe8c2cc55d6e7671fa2a78a5e">
  <xsd:schema xmlns:xsd="http://www.w3.org/2001/XMLSchema" xmlns:xs="http://www.w3.org/2001/XMLSchema" xmlns:p="http://schemas.microsoft.com/office/2006/metadata/properties" xmlns:ns1="http://schemas.microsoft.com/sharepoint/v3" xmlns:ns2="cca31fd3-e266-414b-ad9e-ba62e09589e8" xmlns:ns3="2dd044c0-2197-45fb-ba38-22fd9a2a8a62" targetNamespace="http://schemas.microsoft.com/office/2006/metadata/properties" ma:root="true" ma:fieldsID="f2d701d9045907cdc761bd46385a8c85" ns1:_="" ns2:_="" ns3:_="">
    <xsd:import namespace="http://schemas.microsoft.com/sharepoint/v3"/>
    <xsd:import namespace="cca31fd3-e266-414b-ad9e-ba62e09589e8"/>
    <xsd:import namespace="2dd044c0-2197-45fb-ba38-22fd9a2a8a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bjectDetectorVersions" minOccurs="0"/>
                <xsd:element ref="ns1:_ip_UnifiedCompliancePolicyProperties" minOccurs="0"/>
                <xsd:element ref="ns1:_ip_UnifiedCompliancePolicyUIAction"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a31fd3-e266-414b-ad9e-ba62e09589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ffaf5dc-3735-4fce-97e2-f6f35f147f7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dd044c0-2197-45fb-ba38-22fd9a2a8a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aa2c250e-fcee-4ac1-a0a4-cacf12b7a9a6}" ma:internalName="TaxCatchAll" ma:showField="CatchAllData" ma:web="2dd044c0-2197-45fb-ba38-22fd9a2a8a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Version="16">
  <b:Source>
    <b:Tag>Lyo15</b:Tag>
    <b:SourceType>InternetSite</b:SourceType>
    <b:Guid>{E2E31373-8888-40DA-8A3B-0BCDD75E8452}</b:Guid>
    <b:Title>Writers and Editors: What is the difference between a preface, a forward, and an introduction?</b:Title>
    <b:Year>2015</b:Year>
    <b:Month>3</b:Month>
    <b:Day>16</b:Day>
    <b:YearAccessed>2017</b:YearAccessed>
    <b:MonthAccessed>2</b:MonthAccessed>
    <b:DayAccessed>15</b:DayAccessed>
    <b:URL>http://www.writersandeditors.com/preface__foreword__or_introduction__57375.htm</b:URL>
    <b:Author>
      <b:Author>
        <b:NameList>
          <b:Person>
            <b:Last>Lyon</b:Last>
            <b:First>Jack</b:First>
          </b:Person>
        </b:NameList>
      </b:Author>
    </b:Author>
    <b:RefOrder>1</b:RefOrder>
  </b:Source>
  <b:Source>
    <b:Tag>Air06</b:Tag>
    <b:SourceType>DocumentFromInternetSite</b:SourceType>
    <b:Guid>{AE37C6FD-4A92-48B7-8447-C62CFE10259A}</b:Guid>
    <b:Title>AU-1. Style and Author Guide</b:Title>
    <b:Year>2106</b:Year>
    <b:Author>
      <b:Author>
        <b:Corporate>Air University (AU) Press</b:Corporate>
      </b:Author>
    </b:Author>
    <b:YearAccessed>2017</b:YearAccessed>
    <b:MonthAccessed>February</b:MonthAccessed>
    <b:DayAccessed>15</b:DayAccessed>
    <b:URL>http://www.au.af.mil/au/awc/awcgate/style/styleguide.pdf</b:URL>
    <b:RefOrder>2</b:RefOrder>
  </b:Source>
  <b:Source>
    <b:Tag>Mic17</b:Tag>
    <b:SourceType>InternetSite</b:SourceType>
    <b:Guid>{540A4F45-F362-4298-A914-DA7E8639278C}</b:Guid>
    <b:Author>
      <b:Author>
        <b:Corporate>Microsoft Office</b:Corporate>
      </b:Author>
    </b:Author>
    <b:Title>Insert a watermark in Word</b:Title>
    <b:Year>2017</b:Year>
    <b:YearAccessed>2017</b:YearAccessed>
    <b:MonthAccessed>February</b:MonthAccessed>
    <b:DayAccessed>15</b:DayAccessed>
    <b:URL>http://office.microsoft.com/en-us/word-help/insert-a-watermark-or-change-a-watermark-HA101854787.aspx</b:URL>
    <b:RefOrder>3</b:RefOrder>
  </b:Source>
  <b:Source>
    <b:Tag>The10</b:Tag>
    <b:SourceType>InternetSite</b:SourceType>
    <b:Guid>{FF198BD8-4136-4BA9-A289-7965C47A0776}</b:Guid>
    <b:Title>The Chicago Manual of Style Online</b:Title>
    <b:Year>2010</b:Year>
    <b:YearAccessed>2017</b:YearAccessed>
    <b:MonthAccessed>February</b:MonthAccessed>
    <b:DayAccessed>15</b:DayAccessed>
    <b:URL>http://www.chicagomanualofstyle.org/home.html</b:URL>
    <b:Author>
      <b:Author>
        <b:Corporate>The University of Chicago Press</b:Corporate>
      </b:Author>
    </b:Author>
    <b:Version>16th ed</b:Version>
    <b:RefOrder>4</b:RefOrder>
  </b:Source>
  <b:Source>
    <b:Tag>Mic171</b:Tag>
    <b:SourceType>InternetSite</b:SourceType>
    <b:Guid>{CB8D1662-2B41-4F0D-8ABC-6717D9428DC0}</b:Guid>
    <b:Author>
      <b:Author>
        <b:Corporate>Microsoft Office</b:Corporate>
      </b:Author>
    </b:Author>
    <b:Title>Insert or draw a table</b:Title>
    <b:Year>2017</b:Year>
    <b:YearAccessed>2017</b:YearAccessed>
    <b:MonthAccessed>February</b:MonthAccessed>
    <b:DayAccessed>15</b:DayAccessed>
    <b:URL>http://office.microsoft.com/en-us/word-help/insert-or-create-a-table-HA010034300.aspx</b:URL>
    <b:RefOrder>5</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TaxCatchAll xmlns="2dd044c0-2197-45fb-ba38-22fd9a2a8a62" xsi:nil="true"/>
    <lcf76f155ced4ddcb4097134ff3c332f xmlns="cca31fd3-e266-414b-ad9e-ba62e09589e8">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7767854-C43B-4736-9727-26BD59B23985}">
  <ds:schemaRefs>
    <ds:schemaRef ds:uri="http://schemas.microsoft.com/sharepoint/v3/contenttype/forms"/>
  </ds:schemaRefs>
</ds:datastoreItem>
</file>

<file path=customXml/itemProps2.xml><?xml version="1.0" encoding="utf-8"?>
<ds:datastoreItem xmlns:ds="http://schemas.openxmlformats.org/officeDocument/2006/customXml" ds:itemID="{20B69101-5C3D-4555-9982-F171399F12C7}"/>
</file>

<file path=customXml/itemProps3.xml><?xml version="1.0" encoding="utf-8"?>
<ds:datastoreItem xmlns:ds="http://schemas.openxmlformats.org/officeDocument/2006/customXml" ds:itemID="{75D7EA7A-547D-4356-8679-4D66F922E2CD}">
  <ds:schemaRefs>
    <ds:schemaRef ds:uri="http://schemas.openxmlformats.org/officeDocument/2006/bibliography"/>
  </ds:schemaRefs>
</ds:datastoreItem>
</file>

<file path=customXml/itemProps4.xml><?xml version="1.0" encoding="utf-8"?>
<ds:datastoreItem xmlns:ds="http://schemas.openxmlformats.org/officeDocument/2006/customXml" ds:itemID="{FC213E82-6446-4898-953C-0928EB34B820}">
  <ds:schemaRefs>
    <ds:schemaRef ds:uri="http://schemas.microsoft.com/office/2006/metadata/properties"/>
    <ds:schemaRef ds:uri="http://schemas.microsoft.com/office/infopath/2007/PartnerControls"/>
    <ds:schemaRef ds:uri="f391a947-e397-45c1-bd4b-58dd29edb3a1"/>
    <ds:schemaRef ds:uri="d65e3209-85a1-4fc2-a8c8-76c110ad6e3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63ff7ae987f12be29c7ecf55ad861b8c811d0c339894554da737714731c</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Sloss, Daniel (HQ-CK000)[AIR FORCE]</dc:creator>
  <keywords/>
  <dc:description/>
  <lastModifiedBy>SANKEY, MARGARET D CIV USAF AETC AU/OSP</lastModifiedBy>
  <revision>4</revision>
  <dcterms:created xsi:type="dcterms:W3CDTF">2026-04-08T15:59:00.0000000Z</dcterms:created>
  <dcterms:modified xsi:type="dcterms:W3CDTF">2026-05-18T19:01:06.1843180Z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0x010100B0DDEDBD8FCDE849B9EC869A11D3DAFD</vt:lpwstr>
  </property>
  <property fmtid="{D5CDD505-2E9C-101B-9397-08002B2CF9AE}" pid="3" name="MediaServiceImageTags">
    <vt:lpwstr/>
  </property>
  <property fmtid="{D5CDD505-2E9C-101B-9397-08002B2CF9AE}" pid="4" name="Order">
    <vt:r8>160200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