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561F" w14:textId="77777777" w:rsidR="00AD1399" w:rsidRPr="00310A6E" w:rsidRDefault="00AD1399" w:rsidP="00AD1399">
      <w:pPr>
        <w:pStyle w:val="TitlePageDesignator"/>
        <w:rPr>
          <w:i/>
          <w:iCs/>
          <w:sz w:val="16"/>
          <w:szCs w:val="16"/>
        </w:rPr>
      </w:pPr>
      <w:r>
        <w:t>AETC Case Number-2026-</w:t>
      </w:r>
      <w:proofErr w:type="gramStart"/>
      <w:r>
        <w:t xml:space="preserve">xxXX  </w:t>
      </w:r>
      <w:r w:rsidRPr="3B736114">
        <w:rPr>
          <w:i/>
          <w:iCs/>
          <w:sz w:val="16"/>
          <w:szCs w:val="16"/>
        </w:rPr>
        <w:t>(</w:t>
      </w:r>
      <w:proofErr w:type="gramEnd"/>
      <w:r w:rsidRPr="3B736114">
        <w:rPr>
          <w:i/>
          <w:iCs/>
          <w:caps w:val="0"/>
          <w:sz w:val="16"/>
          <w:szCs w:val="16"/>
        </w:rPr>
        <w:t>The AETC Case Number will be applied after Security &amp;Policy Review)</w:t>
      </w:r>
    </w:p>
    <w:p w14:paraId="34662788" w14:textId="77777777" w:rsidR="00025D6C" w:rsidRDefault="00025D6C" w:rsidP="00025D6C">
      <w:pPr>
        <w:pStyle w:val="TitlePageSchool"/>
      </w:pPr>
      <w:r>
        <w:t>Department of the AIR force Fellows</w:t>
      </w:r>
    </w:p>
    <w:p w14:paraId="4E075589" w14:textId="77777777" w:rsidR="00025D6C" w:rsidRDefault="00025D6C" w:rsidP="00025D6C">
      <w:pPr>
        <w:pStyle w:val="TitlePageUniversity"/>
      </w:pPr>
      <w:r>
        <w:t>AIR UNIVERSITY (AU)</w:t>
      </w:r>
    </w:p>
    <w:p w14:paraId="1B16C399" w14:textId="4ABE11A3" w:rsidR="00D278D0" w:rsidRDefault="00D278D0" w:rsidP="00D278D0">
      <w:pPr>
        <w:pStyle w:val="TitleLine1"/>
        <w:spacing w:line="259" w:lineRule="auto"/>
      </w:pPr>
      <w:r w:rsidRPr="00D278D0">
        <w:t>Enabling Massive Gains in U.S. Launch Frequency: Driving Government Change</w:t>
      </w:r>
    </w:p>
    <w:p w14:paraId="23530AE8" w14:textId="4FB2737B" w:rsidR="00D278D0" w:rsidRDefault="00D278D0" w:rsidP="0010176D">
      <w:pPr>
        <w:rPr>
          <w:rFonts w:ascii="Times New Roman" w:hAnsi="Times New Roman" w:cs="Times New Roman"/>
          <w:b/>
          <w:bCs/>
        </w:rPr>
      </w:pPr>
    </w:p>
    <w:p w14:paraId="37EC936E" w14:textId="77777777" w:rsidR="00D278D0" w:rsidRDefault="00D278D0" w:rsidP="0010176D">
      <w:pPr>
        <w:rPr>
          <w:rFonts w:ascii="Times New Roman" w:hAnsi="Times New Roman" w:cs="Times New Roman"/>
          <w:b/>
          <w:bCs/>
        </w:rPr>
      </w:pPr>
    </w:p>
    <w:p w14:paraId="0D3F1B94" w14:textId="77777777" w:rsidR="00D278D0" w:rsidRDefault="00D278D0" w:rsidP="0010176D">
      <w:pPr>
        <w:rPr>
          <w:rFonts w:ascii="Times New Roman" w:hAnsi="Times New Roman" w:cs="Times New Roman"/>
          <w:b/>
          <w:bCs/>
        </w:rPr>
      </w:pPr>
    </w:p>
    <w:p w14:paraId="4982EB16" w14:textId="77777777" w:rsidR="00D278D0" w:rsidRDefault="00D278D0" w:rsidP="0010176D">
      <w:pPr>
        <w:rPr>
          <w:rFonts w:ascii="Times New Roman" w:hAnsi="Times New Roman" w:cs="Times New Roman"/>
          <w:b/>
          <w:bCs/>
        </w:rPr>
      </w:pPr>
    </w:p>
    <w:p w14:paraId="3266646C" w14:textId="77777777" w:rsidR="004D1B80" w:rsidRDefault="004D1B80" w:rsidP="004D1B80">
      <w:pPr>
        <w:pStyle w:val="TitlePageBy"/>
      </w:pPr>
      <w:proofErr w:type="gramStart"/>
      <w:r>
        <w:t>by</w:t>
      </w:r>
      <w:proofErr w:type="gramEnd"/>
    </w:p>
    <w:p w14:paraId="1D27465F" w14:textId="561AFAB3" w:rsidR="004D1B80" w:rsidRDefault="004D1B80" w:rsidP="004D1B80">
      <w:pPr>
        <w:pStyle w:val="Authors1Column"/>
        <w:spacing w:line="259" w:lineRule="auto"/>
      </w:pPr>
      <w:r w:rsidRPr="004D1B80">
        <w:t>David A. Schill, Lt Col, USSF</w:t>
      </w:r>
    </w:p>
    <w:p w14:paraId="230E4345" w14:textId="77777777" w:rsidR="004D1B80" w:rsidRDefault="004D1B80" w:rsidP="004D1B80">
      <w:pPr>
        <w:pStyle w:val="Authors1Column"/>
      </w:pPr>
    </w:p>
    <w:p w14:paraId="5F6B0767" w14:textId="11F94665" w:rsidR="004D1B80" w:rsidRDefault="004D1B80" w:rsidP="004D1B80">
      <w:pPr>
        <w:pStyle w:val="Authors1Column"/>
      </w:pPr>
      <w:r>
        <w:t>Report Submitted to the Air Force Fellows</w:t>
      </w:r>
    </w:p>
    <w:p w14:paraId="2807E2F2" w14:textId="77777777" w:rsidR="004D1B80" w:rsidRDefault="004D1B80" w:rsidP="004D1B80">
      <w:pPr>
        <w:pStyle w:val="TitlePageBy"/>
      </w:pPr>
      <w:r>
        <w:t>in Partial Fulfillment of the Graduation Requirements</w:t>
      </w:r>
    </w:p>
    <w:p w14:paraId="0CA050B9" w14:textId="77777777" w:rsidR="00D278D0" w:rsidRDefault="00D278D0" w:rsidP="0010176D">
      <w:pPr>
        <w:rPr>
          <w:rFonts w:ascii="Times New Roman" w:hAnsi="Times New Roman" w:cs="Times New Roman"/>
          <w:b/>
          <w:bCs/>
        </w:rPr>
      </w:pPr>
    </w:p>
    <w:p w14:paraId="32C81F6E" w14:textId="77777777" w:rsidR="00AA315F" w:rsidRDefault="00AA315F" w:rsidP="00AA315F">
      <w:pPr>
        <w:pStyle w:val="Authors1Column"/>
      </w:pPr>
      <w:r>
        <w:t xml:space="preserve">Advisor(s): </w:t>
      </w:r>
    </w:p>
    <w:p w14:paraId="426A944E" w14:textId="78363758" w:rsidR="00AA315F" w:rsidRPr="00D579C3" w:rsidRDefault="00AA315F" w:rsidP="00AA315F">
      <w:pPr>
        <w:pStyle w:val="Authors1Column"/>
        <w:spacing w:line="259" w:lineRule="auto"/>
      </w:pPr>
      <w:r w:rsidRPr="00D579C3">
        <w:t>Professor Jeffrey Liebman</w:t>
      </w:r>
    </w:p>
    <w:p w14:paraId="463F870C" w14:textId="4AF43329" w:rsidR="00AA315F" w:rsidRPr="00D579C3" w:rsidRDefault="00D579C3" w:rsidP="00AA315F">
      <w:pPr>
        <w:pStyle w:val="Authors1Column"/>
        <w:spacing w:line="259" w:lineRule="auto"/>
      </w:pPr>
      <w:r w:rsidRPr="00D579C3">
        <w:t>Robert W. Scrivner Professor of Social Policy</w:t>
      </w:r>
    </w:p>
    <w:p w14:paraId="0DC849E8" w14:textId="36795B8C" w:rsidR="00AA315F" w:rsidRDefault="00D579C3" w:rsidP="00AA315F">
      <w:pPr>
        <w:pStyle w:val="Authors1Column"/>
        <w:spacing w:line="259" w:lineRule="auto"/>
      </w:pPr>
      <w:r w:rsidRPr="00D579C3">
        <w:t>Harvard Kennedy School</w:t>
      </w:r>
    </w:p>
    <w:p w14:paraId="3A4ACAC6" w14:textId="65021C3A" w:rsidR="00D579C3" w:rsidRDefault="00D579C3" w:rsidP="00AA315F">
      <w:pPr>
        <w:pStyle w:val="Authors1Column"/>
        <w:spacing w:line="259" w:lineRule="auto"/>
      </w:pPr>
      <w:r>
        <w:t>Cambridge, MA</w:t>
      </w:r>
    </w:p>
    <w:p w14:paraId="337C7B01" w14:textId="77777777" w:rsidR="009468EA" w:rsidRDefault="009468EA" w:rsidP="00AA315F">
      <w:pPr>
        <w:pStyle w:val="Authors1Column"/>
        <w:spacing w:line="259" w:lineRule="auto"/>
      </w:pPr>
    </w:p>
    <w:p w14:paraId="71B8B955" w14:textId="77777777" w:rsidR="009468EA" w:rsidRDefault="009468EA" w:rsidP="00AA315F">
      <w:pPr>
        <w:pStyle w:val="Authors1Column"/>
        <w:spacing w:line="259" w:lineRule="auto"/>
      </w:pPr>
    </w:p>
    <w:p w14:paraId="75471645" w14:textId="77777777" w:rsidR="009468EA" w:rsidRDefault="009468EA" w:rsidP="00AA315F">
      <w:pPr>
        <w:pStyle w:val="Authors1Column"/>
        <w:spacing w:line="259" w:lineRule="auto"/>
      </w:pPr>
    </w:p>
    <w:p w14:paraId="6181C14B" w14:textId="3FEC75C3" w:rsidR="009468EA" w:rsidRDefault="009468EA" w:rsidP="00AA315F">
      <w:pPr>
        <w:pStyle w:val="Authors1Column"/>
        <w:spacing w:line="259" w:lineRule="auto"/>
      </w:pPr>
      <w:r>
        <w:t>Washington DC</w:t>
      </w:r>
    </w:p>
    <w:p w14:paraId="43920980" w14:textId="77777777" w:rsidR="009468EA" w:rsidRDefault="009468EA" w:rsidP="00AA315F">
      <w:pPr>
        <w:pStyle w:val="Authors1Column"/>
        <w:spacing w:line="259" w:lineRule="auto"/>
      </w:pPr>
    </w:p>
    <w:p w14:paraId="49DF2F6F" w14:textId="29777BC6" w:rsidR="009468EA" w:rsidRDefault="009468EA" w:rsidP="00AA315F">
      <w:pPr>
        <w:pStyle w:val="Authors1Column"/>
        <w:spacing w:line="259" w:lineRule="auto"/>
      </w:pPr>
      <w:r>
        <w:t>April 2026</w:t>
      </w:r>
    </w:p>
    <w:p w14:paraId="4E8F8E10" w14:textId="77777777" w:rsidR="009468EA" w:rsidRDefault="009468EA" w:rsidP="00AA315F">
      <w:pPr>
        <w:pStyle w:val="Authors1Column"/>
        <w:spacing w:line="259" w:lineRule="auto"/>
      </w:pPr>
    </w:p>
    <w:p w14:paraId="0840E92D" w14:textId="77777777" w:rsidR="003644F5" w:rsidRDefault="003644F5" w:rsidP="003644F5">
      <w:pPr>
        <w:pStyle w:val="Authors1Column"/>
        <w:spacing w:line="259" w:lineRule="auto"/>
        <w:jc w:val="left"/>
      </w:pPr>
    </w:p>
    <w:p w14:paraId="164EED6D" w14:textId="77777777" w:rsidR="003644F5" w:rsidRDefault="003644F5" w:rsidP="003644F5">
      <w:pPr>
        <w:pStyle w:val="Authors1Column"/>
        <w:spacing w:line="259" w:lineRule="auto"/>
        <w:jc w:val="left"/>
      </w:pPr>
    </w:p>
    <w:p w14:paraId="60110281" w14:textId="77777777" w:rsidR="003644F5" w:rsidRDefault="003644F5" w:rsidP="003644F5">
      <w:pPr>
        <w:pStyle w:val="Authors1Column"/>
        <w:spacing w:line="259" w:lineRule="auto"/>
        <w:jc w:val="left"/>
      </w:pPr>
    </w:p>
    <w:p w14:paraId="381380F5" w14:textId="77777777" w:rsidR="003644F5" w:rsidRDefault="003644F5" w:rsidP="003644F5">
      <w:pPr>
        <w:pStyle w:val="Authors1Column"/>
        <w:spacing w:line="259" w:lineRule="auto"/>
        <w:jc w:val="left"/>
      </w:pPr>
    </w:p>
    <w:p w14:paraId="44134381" w14:textId="77777777" w:rsidR="003644F5" w:rsidRDefault="003644F5" w:rsidP="003644F5">
      <w:pPr>
        <w:pStyle w:val="Authors1Column"/>
        <w:spacing w:line="259" w:lineRule="auto"/>
        <w:jc w:val="left"/>
      </w:pPr>
    </w:p>
    <w:p w14:paraId="64012A8C" w14:textId="77777777" w:rsidR="003644F5" w:rsidRDefault="003644F5" w:rsidP="003644F5">
      <w:pPr>
        <w:pStyle w:val="Authors1Column"/>
        <w:spacing w:line="259" w:lineRule="auto"/>
        <w:jc w:val="left"/>
      </w:pPr>
    </w:p>
    <w:p w14:paraId="32F26168" w14:textId="77777777" w:rsidR="003644F5" w:rsidRDefault="003644F5" w:rsidP="003644F5">
      <w:pPr>
        <w:pStyle w:val="Authors1Column"/>
        <w:spacing w:line="259" w:lineRule="auto"/>
        <w:jc w:val="left"/>
      </w:pPr>
    </w:p>
    <w:p w14:paraId="7D5FA71F" w14:textId="77777777" w:rsidR="003644F5" w:rsidRDefault="003644F5" w:rsidP="003644F5">
      <w:pPr>
        <w:pStyle w:val="Authors1Column"/>
        <w:spacing w:line="259" w:lineRule="auto"/>
        <w:jc w:val="left"/>
      </w:pPr>
    </w:p>
    <w:p w14:paraId="34C709DC" w14:textId="77777777" w:rsidR="003644F5" w:rsidRDefault="003644F5" w:rsidP="003644F5">
      <w:pPr>
        <w:pStyle w:val="Authors1Column"/>
        <w:spacing w:line="259" w:lineRule="auto"/>
        <w:jc w:val="left"/>
      </w:pPr>
    </w:p>
    <w:p w14:paraId="5FE87236" w14:textId="77777777" w:rsidR="003644F5" w:rsidRDefault="003644F5" w:rsidP="003644F5">
      <w:pPr>
        <w:pStyle w:val="Authors1Column"/>
        <w:spacing w:line="259" w:lineRule="auto"/>
        <w:jc w:val="left"/>
      </w:pPr>
    </w:p>
    <w:p w14:paraId="621C651A" w14:textId="61495B89" w:rsidR="00FC2C24" w:rsidRPr="00003710" w:rsidRDefault="003644F5" w:rsidP="003644F5">
      <w:pPr>
        <w:jc w:val="center"/>
        <w:rPr>
          <w:rFonts w:ascii="Times New Roman" w:hAnsi="Times New Roman" w:cs="Times New Roman"/>
          <w:b/>
          <w:bCs/>
          <w:i/>
          <w:iCs/>
          <w:sz w:val="28"/>
          <w:szCs w:val="28"/>
        </w:rPr>
      </w:pPr>
      <w:r w:rsidRPr="00003710">
        <w:rPr>
          <w:rFonts w:ascii="Times New Roman" w:hAnsi="Times New Roman" w:cs="Times New Roman"/>
          <w:b/>
          <w:bCs/>
          <w:i/>
          <w:iCs/>
          <w:sz w:val="28"/>
          <w:szCs w:val="28"/>
        </w:rPr>
        <w:t>Disclaimer</w:t>
      </w:r>
    </w:p>
    <w:p w14:paraId="49407137" w14:textId="77777777" w:rsidR="00FC2C24" w:rsidRDefault="00FC2C24" w:rsidP="0010176D">
      <w:pPr>
        <w:rPr>
          <w:rFonts w:ascii="Times New Roman" w:hAnsi="Times New Roman" w:cs="Times New Roman"/>
          <w:b/>
          <w:bCs/>
        </w:rPr>
      </w:pPr>
    </w:p>
    <w:p w14:paraId="1E8F3307" w14:textId="77777777" w:rsidR="003644F5" w:rsidRDefault="003644F5" w:rsidP="003644F5">
      <w:pPr>
        <w:pStyle w:val="Paragraph"/>
      </w:pPr>
      <w:r>
        <w:t xml:space="preserve">The views expressed in this academic research paper are those of the author(s) and do not reflect the official policy or position of the US government or the Department of War.  In accordance with Air Force Instruction 51-303, </w:t>
      </w:r>
      <w:r w:rsidRPr="3B736114">
        <w:rPr>
          <w:i/>
          <w:iCs/>
        </w:rPr>
        <w:t>Intellectual Property—Patents, Patent Related Matters, Trademarks and Copyrights</w:t>
      </w:r>
      <w:r>
        <w:t>, 1 September 1998, this research paper is not copyrighted but is the property of the United States government.</w:t>
      </w:r>
    </w:p>
    <w:p w14:paraId="76F53899" w14:textId="77777777" w:rsidR="00FC2C24" w:rsidRDefault="00FC2C24" w:rsidP="0010176D">
      <w:pPr>
        <w:rPr>
          <w:rFonts w:ascii="Times New Roman" w:hAnsi="Times New Roman" w:cs="Times New Roman"/>
          <w:b/>
          <w:bCs/>
        </w:rPr>
      </w:pPr>
    </w:p>
    <w:p w14:paraId="05F37A03" w14:textId="77777777" w:rsidR="00FC2C24" w:rsidRDefault="00FC2C24" w:rsidP="0010176D">
      <w:pPr>
        <w:rPr>
          <w:rFonts w:ascii="Times New Roman" w:hAnsi="Times New Roman" w:cs="Times New Roman"/>
          <w:b/>
          <w:bCs/>
        </w:rPr>
      </w:pPr>
    </w:p>
    <w:p w14:paraId="329CBAB0" w14:textId="77777777" w:rsidR="00003710" w:rsidRDefault="00003710" w:rsidP="0010176D">
      <w:pPr>
        <w:rPr>
          <w:rFonts w:ascii="Times New Roman" w:hAnsi="Times New Roman" w:cs="Times New Roman"/>
          <w:b/>
          <w:bCs/>
        </w:rPr>
      </w:pPr>
    </w:p>
    <w:p w14:paraId="02DBC77F" w14:textId="77777777" w:rsidR="00003710" w:rsidRDefault="00003710" w:rsidP="0010176D">
      <w:pPr>
        <w:rPr>
          <w:rFonts w:ascii="Times New Roman" w:hAnsi="Times New Roman" w:cs="Times New Roman"/>
          <w:b/>
          <w:bCs/>
        </w:rPr>
      </w:pPr>
    </w:p>
    <w:p w14:paraId="2374B765" w14:textId="77777777" w:rsidR="00003710" w:rsidRDefault="00003710" w:rsidP="0010176D">
      <w:pPr>
        <w:rPr>
          <w:rFonts w:ascii="Times New Roman" w:hAnsi="Times New Roman" w:cs="Times New Roman"/>
          <w:b/>
          <w:bCs/>
        </w:rPr>
      </w:pPr>
    </w:p>
    <w:p w14:paraId="234212CF" w14:textId="77777777" w:rsidR="00003710" w:rsidRDefault="00003710" w:rsidP="0010176D">
      <w:pPr>
        <w:rPr>
          <w:rFonts w:ascii="Times New Roman" w:hAnsi="Times New Roman" w:cs="Times New Roman"/>
          <w:b/>
          <w:bCs/>
        </w:rPr>
      </w:pPr>
    </w:p>
    <w:p w14:paraId="5E5CD7AB" w14:textId="77777777" w:rsidR="00003710" w:rsidRDefault="00003710" w:rsidP="0010176D">
      <w:pPr>
        <w:rPr>
          <w:rFonts w:ascii="Times New Roman" w:hAnsi="Times New Roman" w:cs="Times New Roman"/>
          <w:b/>
          <w:bCs/>
        </w:rPr>
      </w:pPr>
    </w:p>
    <w:p w14:paraId="3CCC447B" w14:textId="77777777" w:rsidR="00003710" w:rsidRDefault="00003710" w:rsidP="0010176D">
      <w:pPr>
        <w:rPr>
          <w:rFonts w:ascii="Times New Roman" w:hAnsi="Times New Roman" w:cs="Times New Roman"/>
          <w:b/>
          <w:bCs/>
        </w:rPr>
      </w:pPr>
    </w:p>
    <w:p w14:paraId="62951D66" w14:textId="77777777" w:rsidR="00003710" w:rsidRDefault="00003710" w:rsidP="0010176D">
      <w:pPr>
        <w:rPr>
          <w:rFonts w:ascii="Times New Roman" w:hAnsi="Times New Roman" w:cs="Times New Roman"/>
          <w:b/>
          <w:bCs/>
        </w:rPr>
      </w:pPr>
    </w:p>
    <w:p w14:paraId="454E9B11" w14:textId="77777777" w:rsidR="00003710" w:rsidRDefault="00003710" w:rsidP="0010176D">
      <w:pPr>
        <w:rPr>
          <w:rFonts w:ascii="Times New Roman" w:hAnsi="Times New Roman" w:cs="Times New Roman"/>
          <w:b/>
          <w:bCs/>
        </w:rPr>
      </w:pPr>
    </w:p>
    <w:p w14:paraId="4F917BE7" w14:textId="77777777" w:rsidR="00003710" w:rsidRDefault="00003710" w:rsidP="0010176D">
      <w:pPr>
        <w:rPr>
          <w:rFonts w:ascii="Times New Roman" w:hAnsi="Times New Roman" w:cs="Times New Roman"/>
          <w:b/>
          <w:bCs/>
        </w:rPr>
      </w:pPr>
    </w:p>
    <w:p w14:paraId="2DA4ABF1" w14:textId="77777777" w:rsidR="00003710" w:rsidRDefault="00003710" w:rsidP="0010176D">
      <w:pPr>
        <w:rPr>
          <w:rFonts w:ascii="Times New Roman" w:hAnsi="Times New Roman" w:cs="Times New Roman"/>
          <w:b/>
          <w:bCs/>
        </w:rPr>
      </w:pPr>
    </w:p>
    <w:p w14:paraId="51245A9B" w14:textId="77777777" w:rsidR="006B6D39" w:rsidRDefault="006B6D39" w:rsidP="0010176D">
      <w:pPr>
        <w:rPr>
          <w:rFonts w:ascii="Times New Roman" w:hAnsi="Times New Roman" w:cs="Times New Roman"/>
          <w:b/>
          <w:bCs/>
        </w:rPr>
      </w:pPr>
    </w:p>
    <w:p w14:paraId="350C08AF" w14:textId="33B41BA6" w:rsidR="00045A7D" w:rsidRPr="00045A7D" w:rsidRDefault="00EF4B39">
      <w:pPr>
        <w:pStyle w:val="TOC1"/>
        <w:tabs>
          <w:tab w:val="right" w:leader="dot" w:pos="9350"/>
        </w:tabs>
        <w:rPr>
          <w:rFonts w:ascii="Times New Roman" w:eastAsiaTheme="minorEastAsia" w:hAnsi="Times New Roman" w:cs="Times New Roman"/>
          <w:noProof/>
        </w:rPr>
      </w:pPr>
      <w:r w:rsidRPr="007931E5">
        <w:rPr>
          <w:rFonts w:ascii="Times New Roman" w:hAnsi="Times New Roman" w:cs="Times New Roman"/>
          <w:u w:color="FFFFFF" w:themeColor="background1"/>
        </w:rPr>
        <w:lastRenderedPageBreak/>
        <w:fldChar w:fldCharType="begin"/>
      </w:r>
      <w:r w:rsidRPr="007931E5">
        <w:rPr>
          <w:rFonts w:ascii="Times New Roman" w:hAnsi="Times New Roman" w:cs="Times New Roman"/>
          <w:u w:color="FFFFFF" w:themeColor="background1"/>
        </w:rPr>
        <w:instrText xml:space="preserve"> TOC \o "1-3" \h \z \u </w:instrText>
      </w:r>
      <w:r w:rsidRPr="007931E5">
        <w:rPr>
          <w:rFonts w:ascii="Times New Roman" w:hAnsi="Times New Roman" w:cs="Times New Roman"/>
          <w:u w:color="FFFFFF" w:themeColor="background1"/>
        </w:rPr>
        <w:fldChar w:fldCharType="separate"/>
      </w:r>
      <w:hyperlink w:anchor="_Toc227163549" w:history="1">
        <w:r w:rsidR="00045A7D" w:rsidRPr="00045A7D">
          <w:rPr>
            <w:rStyle w:val="Hyperlink"/>
            <w:rFonts w:ascii="Times New Roman" w:hAnsi="Times New Roman" w:cs="Times New Roman"/>
            <w:noProof/>
          </w:rPr>
          <w:t>Abstract</w:t>
        </w:r>
        <w:r w:rsidR="00045A7D" w:rsidRPr="00045A7D">
          <w:rPr>
            <w:rFonts w:ascii="Times New Roman" w:hAnsi="Times New Roman" w:cs="Times New Roman"/>
            <w:noProof/>
            <w:webHidden/>
          </w:rPr>
          <w:tab/>
        </w:r>
        <w:r w:rsidR="00045A7D" w:rsidRPr="00045A7D">
          <w:rPr>
            <w:rFonts w:ascii="Times New Roman" w:hAnsi="Times New Roman" w:cs="Times New Roman"/>
            <w:noProof/>
            <w:webHidden/>
          </w:rPr>
          <w:fldChar w:fldCharType="begin"/>
        </w:r>
        <w:r w:rsidR="00045A7D" w:rsidRPr="00045A7D">
          <w:rPr>
            <w:rFonts w:ascii="Times New Roman" w:hAnsi="Times New Roman" w:cs="Times New Roman"/>
            <w:noProof/>
            <w:webHidden/>
          </w:rPr>
          <w:instrText xml:space="preserve"> PAGEREF _Toc227163549 \h </w:instrText>
        </w:r>
        <w:r w:rsidR="00045A7D" w:rsidRPr="00045A7D">
          <w:rPr>
            <w:rFonts w:ascii="Times New Roman" w:hAnsi="Times New Roman" w:cs="Times New Roman"/>
            <w:noProof/>
            <w:webHidden/>
          </w:rPr>
        </w:r>
        <w:r w:rsidR="00045A7D" w:rsidRPr="00045A7D">
          <w:rPr>
            <w:rFonts w:ascii="Times New Roman" w:hAnsi="Times New Roman" w:cs="Times New Roman"/>
            <w:noProof/>
            <w:webHidden/>
          </w:rPr>
          <w:fldChar w:fldCharType="separate"/>
        </w:r>
        <w:r w:rsidR="009F03FD">
          <w:rPr>
            <w:rFonts w:ascii="Times New Roman" w:hAnsi="Times New Roman" w:cs="Times New Roman"/>
            <w:noProof/>
            <w:webHidden/>
          </w:rPr>
          <w:t>iv</w:t>
        </w:r>
        <w:r w:rsidR="00045A7D" w:rsidRPr="00045A7D">
          <w:rPr>
            <w:rFonts w:ascii="Times New Roman" w:hAnsi="Times New Roman" w:cs="Times New Roman"/>
            <w:noProof/>
            <w:webHidden/>
          </w:rPr>
          <w:fldChar w:fldCharType="end"/>
        </w:r>
      </w:hyperlink>
    </w:p>
    <w:p w14:paraId="29B5F6EB" w14:textId="425454CF" w:rsidR="00045A7D" w:rsidRPr="00045A7D" w:rsidRDefault="00045A7D">
      <w:pPr>
        <w:pStyle w:val="TOC1"/>
        <w:tabs>
          <w:tab w:val="right" w:leader="dot" w:pos="9350"/>
        </w:tabs>
        <w:rPr>
          <w:rFonts w:ascii="Times New Roman" w:eastAsiaTheme="minorEastAsia" w:hAnsi="Times New Roman" w:cs="Times New Roman"/>
          <w:noProof/>
        </w:rPr>
      </w:pPr>
      <w:hyperlink w:anchor="_Toc227163550" w:history="1">
        <w:r w:rsidRPr="00045A7D">
          <w:rPr>
            <w:rStyle w:val="Hyperlink"/>
            <w:rFonts w:ascii="Times New Roman" w:hAnsi="Times New Roman" w:cs="Times New Roman"/>
            <w:noProof/>
          </w:rPr>
          <w:t>Executive Summary</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_Toc227163550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v</w:t>
        </w:r>
        <w:r w:rsidRPr="00045A7D">
          <w:rPr>
            <w:rFonts w:ascii="Times New Roman" w:hAnsi="Times New Roman" w:cs="Times New Roman"/>
            <w:noProof/>
            <w:webHidden/>
          </w:rPr>
          <w:fldChar w:fldCharType="end"/>
        </w:r>
      </w:hyperlink>
    </w:p>
    <w:p w14:paraId="44CE6AF0" w14:textId="7FE201D6" w:rsidR="00045A7D" w:rsidRPr="00045A7D" w:rsidRDefault="00045A7D">
      <w:pPr>
        <w:pStyle w:val="TOC1"/>
        <w:tabs>
          <w:tab w:val="right" w:leader="dot" w:pos="9350"/>
        </w:tabs>
        <w:rPr>
          <w:rFonts w:ascii="Times New Roman" w:eastAsiaTheme="minorEastAsia" w:hAnsi="Times New Roman" w:cs="Times New Roman"/>
          <w:noProof/>
        </w:rPr>
      </w:pPr>
      <w:hyperlink w:anchor="_Toc227163551" w:history="1">
        <w:r w:rsidRPr="00045A7D">
          <w:rPr>
            <w:rStyle w:val="Hyperlink"/>
            <w:rFonts w:ascii="Times New Roman" w:hAnsi="Times New Roman" w:cs="Times New Roman"/>
            <w:noProof/>
          </w:rPr>
          <w:t>Introduction</w:t>
        </w:r>
        <w:r w:rsidRPr="00045A7D">
          <w:rPr>
            <w:rStyle w:val="Hyperlink"/>
            <w:rFonts w:ascii="Times New Roman" w:hAnsi="Times New Roman" w:cs="Times New Roman"/>
            <w:noProof/>
            <w:vertAlign w:val="superscript"/>
          </w:rPr>
          <w:t>,</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_Toc227163551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1</w:t>
        </w:r>
        <w:r w:rsidRPr="00045A7D">
          <w:rPr>
            <w:rFonts w:ascii="Times New Roman" w:hAnsi="Times New Roman" w:cs="Times New Roman"/>
            <w:noProof/>
            <w:webHidden/>
          </w:rPr>
          <w:fldChar w:fldCharType="end"/>
        </w:r>
      </w:hyperlink>
    </w:p>
    <w:p w14:paraId="3DE963A9" w14:textId="2B12A503" w:rsidR="00045A7D" w:rsidRPr="00045A7D" w:rsidRDefault="00045A7D">
      <w:pPr>
        <w:pStyle w:val="TOC1"/>
        <w:tabs>
          <w:tab w:val="right" w:leader="dot" w:pos="9350"/>
        </w:tabs>
        <w:rPr>
          <w:rFonts w:ascii="Times New Roman" w:eastAsiaTheme="minorEastAsia" w:hAnsi="Times New Roman" w:cs="Times New Roman"/>
          <w:noProof/>
        </w:rPr>
      </w:pPr>
      <w:hyperlink w:anchor="_Toc227163552" w:history="1">
        <w:r w:rsidRPr="00045A7D">
          <w:rPr>
            <w:rStyle w:val="Hyperlink"/>
            <w:rFonts w:ascii="Times New Roman" w:hAnsi="Times New Roman" w:cs="Times New Roman"/>
            <w:noProof/>
          </w:rPr>
          <w:t>Methodology</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_Toc227163552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1</w:t>
        </w:r>
        <w:r w:rsidRPr="00045A7D">
          <w:rPr>
            <w:rFonts w:ascii="Times New Roman" w:hAnsi="Times New Roman" w:cs="Times New Roman"/>
            <w:noProof/>
            <w:webHidden/>
          </w:rPr>
          <w:fldChar w:fldCharType="end"/>
        </w:r>
      </w:hyperlink>
    </w:p>
    <w:p w14:paraId="3DA12881" w14:textId="144C787A" w:rsidR="00045A7D" w:rsidRPr="00045A7D" w:rsidRDefault="00045A7D">
      <w:pPr>
        <w:pStyle w:val="TOC1"/>
        <w:tabs>
          <w:tab w:val="right" w:leader="dot" w:pos="9350"/>
        </w:tabs>
        <w:rPr>
          <w:rFonts w:ascii="Times New Roman" w:eastAsiaTheme="minorEastAsia" w:hAnsi="Times New Roman" w:cs="Times New Roman"/>
          <w:noProof/>
        </w:rPr>
      </w:pPr>
      <w:hyperlink w:anchor="_Toc227163553" w:history="1">
        <w:r w:rsidRPr="00045A7D">
          <w:rPr>
            <w:rStyle w:val="Hyperlink"/>
            <w:rFonts w:ascii="Times New Roman" w:hAnsi="Times New Roman" w:cs="Times New Roman"/>
            <w:noProof/>
          </w:rPr>
          <w:t>Research Questions</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_Toc227163553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2</w:t>
        </w:r>
        <w:r w:rsidRPr="00045A7D">
          <w:rPr>
            <w:rFonts w:ascii="Times New Roman" w:hAnsi="Times New Roman" w:cs="Times New Roman"/>
            <w:noProof/>
            <w:webHidden/>
          </w:rPr>
          <w:fldChar w:fldCharType="end"/>
        </w:r>
      </w:hyperlink>
    </w:p>
    <w:p w14:paraId="6A9BBC18" w14:textId="7EF700BF" w:rsidR="00045A7D" w:rsidRPr="00045A7D" w:rsidRDefault="00045A7D">
      <w:pPr>
        <w:pStyle w:val="TOC1"/>
        <w:tabs>
          <w:tab w:val="right" w:leader="dot" w:pos="9350"/>
        </w:tabs>
        <w:rPr>
          <w:rFonts w:ascii="Times New Roman" w:eastAsiaTheme="minorEastAsia" w:hAnsi="Times New Roman" w:cs="Times New Roman"/>
          <w:noProof/>
        </w:rPr>
      </w:pPr>
      <w:hyperlink w:anchor="_Toc227163554" w:history="1">
        <w:r w:rsidRPr="00045A7D">
          <w:rPr>
            <w:rStyle w:val="Hyperlink"/>
            <w:rFonts w:ascii="Times New Roman" w:hAnsi="Times New Roman" w:cs="Times New Roman"/>
            <w:noProof/>
          </w:rPr>
          <w:t>Background</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_Toc227163554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3</w:t>
        </w:r>
        <w:r w:rsidRPr="00045A7D">
          <w:rPr>
            <w:rFonts w:ascii="Times New Roman" w:hAnsi="Times New Roman" w:cs="Times New Roman"/>
            <w:noProof/>
            <w:webHidden/>
          </w:rPr>
          <w:fldChar w:fldCharType="end"/>
        </w:r>
      </w:hyperlink>
    </w:p>
    <w:p w14:paraId="738BDFC0" w14:textId="323B50A2" w:rsidR="00045A7D" w:rsidRPr="00045A7D" w:rsidRDefault="00045A7D">
      <w:pPr>
        <w:pStyle w:val="TOC1"/>
        <w:tabs>
          <w:tab w:val="right" w:leader="dot" w:pos="9350"/>
        </w:tabs>
        <w:rPr>
          <w:rFonts w:ascii="Times New Roman" w:eastAsiaTheme="minorEastAsia" w:hAnsi="Times New Roman" w:cs="Times New Roman"/>
          <w:noProof/>
        </w:rPr>
      </w:pPr>
      <w:hyperlink w:anchor="_Toc227163555" w:history="1">
        <w:r w:rsidRPr="00045A7D">
          <w:rPr>
            <w:rStyle w:val="Hyperlink"/>
            <w:rFonts w:ascii="Times New Roman" w:hAnsi="Times New Roman" w:cs="Times New Roman"/>
            <w:noProof/>
          </w:rPr>
          <w:t>Evolving Policy for Space Launch</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_Toc227163555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5</w:t>
        </w:r>
        <w:r w:rsidRPr="00045A7D">
          <w:rPr>
            <w:rFonts w:ascii="Times New Roman" w:hAnsi="Times New Roman" w:cs="Times New Roman"/>
            <w:noProof/>
            <w:webHidden/>
          </w:rPr>
          <w:fldChar w:fldCharType="end"/>
        </w:r>
      </w:hyperlink>
    </w:p>
    <w:p w14:paraId="5813AC54" w14:textId="65F45D3D" w:rsidR="00045A7D" w:rsidRPr="00045A7D" w:rsidRDefault="00045A7D">
      <w:pPr>
        <w:pStyle w:val="TOC1"/>
        <w:tabs>
          <w:tab w:val="right" w:leader="dot" w:pos="9350"/>
        </w:tabs>
        <w:rPr>
          <w:rFonts w:ascii="Times New Roman" w:eastAsiaTheme="minorEastAsia" w:hAnsi="Times New Roman" w:cs="Times New Roman"/>
          <w:noProof/>
        </w:rPr>
      </w:pPr>
      <w:hyperlink w:anchor="_Toc227163556" w:history="1">
        <w:r w:rsidRPr="00045A7D">
          <w:rPr>
            <w:rStyle w:val="Hyperlink"/>
            <w:rFonts w:ascii="Times New Roman" w:hAnsi="Times New Roman" w:cs="Times New Roman"/>
            <w:noProof/>
          </w:rPr>
          <w:t>Why This Matters? - Impacts of 2273 and 2276.</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_Toc227163556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7</w:t>
        </w:r>
        <w:r w:rsidRPr="00045A7D">
          <w:rPr>
            <w:rFonts w:ascii="Times New Roman" w:hAnsi="Times New Roman" w:cs="Times New Roman"/>
            <w:noProof/>
            <w:webHidden/>
          </w:rPr>
          <w:fldChar w:fldCharType="end"/>
        </w:r>
      </w:hyperlink>
    </w:p>
    <w:p w14:paraId="05C6FBCB" w14:textId="0EAE77E4" w:rsidR="00045A7D" w:rsidRPr="00045A7D" w:rsidRDefault="00045A7D">
      <w:pPr>
        <w:pStyle w:val="TOC1"/>
        <w:tabs>
          <w:tab w:val="right" w:leader="dot" w:pos="9350"/>
        </w:tabs>
        <w:rPr>
          <w:rFonts w:ascii="Times New Roman" w:eastAsiaTheme="minorEastAsia" w:hAnsi="Times New Roman" w:cs="Times New Roman"/>
          <w:noProof/>
        </w:rPr>
      </w:pPr>
      <w:hyperlink w:anchor="_Toc227163557" w:history="1">
        <w:r w:rsidRPr="00045A7D">
          <w:rPr>
            <w:rStyle w:val="Hyperlink"/>
            <w:rFonts w:ascii="Times New Roman" w:hAnsi="Times New Roman" w:cs="Times New Roman"/>
            <w:noProof/>
          </w:rPr>
          <w:t>U.S. Space Force Guidance and Direction</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_Toc227163557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9</w:t>
        </w:r>
        <w:r w:rsidRPr="00045A7D">
          <w:rPr>
            <w:rFonts w:ascii="Times New Roman" w:hAnsi="Times New Roman" w:cs="Times New Roman"/>
            <w:noProof/>
            <w:webHidden/>
          </w:rPr>
          <w:fldChar w:fldCharType="end"/>
        </w:r>
      </w:hyperlink>
    </w:p>
    <w:p w14:paraId="3DB65617" w14:textId="0DFDB61B" w:rsidR="00045A7D" w:rsidRPr="00045A7D" w:rsidRDefault="00045A7D">
      <w:pPr>
        <w:pStyle w:val="TOC1"/>
        <w:tabs>
          <w:tab w:val="right" w:leader="dot" w:pos="9350"/>
        </w:tabs>
        <w:rPr>
          <w:rFonts w:ascii="Times New Roman" w:eastAsiaTheme="minorEastAsia" w:hAnsi="Times New Roman" w:cs="Times New Roman"/>
          <w:noProof/>
        </w:rPr>
      </w:pPr>
      <w:hyperlink w:anchor="_Toc227163558" w:history="1">
        <w:r w:rsidRPr="00045A7D">
          <w:rPr>
            <w:rStyle w:val="Hyperlink"/>
            <w:rFonts w:ascii="Times New Roman" w:hAnsi="Times New Roman" w:cs="Times New Roman"/>
            <w:noProof/>
          </w:rPr>
          <w:t>Implementing AFSS: A Challenge to Overcome</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_Toc227163558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12</w:t>
        </w:r>
        <w:r w:rsidRPr="00045A7D">
          <w:rPr>
            <w:rFonts w:ascii="Times New Roman" w:hAnsi="Times New Roman" w:cs="Times New Roman"/>
            <w:noProof/>
            <w:webHidden/>
          </w:rPr>
          <w:fldChar w:fldCharType="end"/>
        </w:r>
      </w:hyperlink>
    </w:p>
    <w:p w14:paraId="171184CD" w14:textId="0374DB8C" w:rsidR="00045A7D" w:rsidRPr="00045A7D" w:rsidRDefault="00045A7D">
      <w:pPr>
        <w:pStyle w:val="TOC1"/>
        <w:tabs>
          <w:tab w:val="right" w:leader="dot" w:pos="9350"/>
        </w:tabs>
        <w:rPr>
          <w:rFonts w:ascii="Times New Roman" w:eastAsiaTheme="minorEastAsia" w:hAnsi="Times New Roman" w:cs="Times New Roman"/>
          <w:noProof/>
        </w:rPr>
      </w:pPr>
      <w:hyperlink w:anchor="_Toc227163559" w:history="1">
        <w:r w:rsidRPr="00045A7D">
          <w:rPr>
            <w:rStyle w:val="Hyperlink"/>
            <w:rFonts w:ascii="Times New Roman" w:hAnsi="Times New Roman" w:cs="Times New Roman"/>
            <w:noProof/>
          </w:rPr>
          <w:t>Managing Organizational Change</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_Toc227163559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13</w:t>
        </w:r>
        <w:r w:rsidRPr="00045A7D">
          <w:rPr>
            <w:rFonts w:ascii="Times New Roman" w:hAnsi="Times New Roman" w:cs="Times New Roman"/>
            <w:noProof/>
            <w:webHidden/>
          </w:rPr>
          <w:fldChar w:fldCharType="end"/>
        </w:r>
      </w:hyperlink>
    </w:p>
    <w:p w14:paraId="16207B26" w14:textId="578A7E8F" w:rsidR="00045A7D" w:rsidRPr="00045A7D" w:rsidRDefault="00045A7D">
      <w:pPr>
        <w:pStyle w:val="TOC1"/>
        <w:tabs>
          <w:tab w:val="right" w:leader="dot" w:pos="9350"/>
        </w:tabs>
        <w:rPr>
          <w:rFonts w:ascii="Times New Roman" w:eastAsiaTheme="minorEastAsia" w:hAnsi="Times New Roman" w:cs="Times New Roman"/>
          <w:noProof/>
        </w:rPr>
      </w:pPr>
      <w:hyperlink w:anchor="_Toc227163560" w:history="1">
        <w:r w:rsidRPr="00045A7D">
          <w:rPr>
            <w:rStyle w:val="Hyperlink"/>
            <w:rFonts w:ascii="Times New Roman" w:hAnsi="Times New Roman" w:cs="Times New Roman"/>
            <w:noProof/>
          </w:rPr>
          <w:t>Policy Recommendations and Conclusion</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_Toc227163560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26</w:t>
        </w:r>
        <w:r w:rsidRPr="00045A7D">
          <w:rPr>
            <w:rFonts w:ascii="Times New Roman" w:hAnsi="Times New Roman" w:cs="Times New Roman"/>
            <w:noProof/>
            <w:webHidden/>
          </w:rPr>
          <w:fldChar w:fldCharType="end"/>
        </w:r>
      </w:hyperlink>
    </w:p>
    <w:p w14:paraId="77213000" w14:textId="0CF10D45" w:rsidR="00045A7D" w:rsidRPr="00045A7D" w:rsidRDefault="00045A7D">
      <w:pPr>
        <w:pStyle w:val="TOC1"/>
        <w:tabs>
          <w:tab w:val="right" w:leader="dot" w:pos="9350"/>
        </w:tabs>
        <w:rPr>
          <w:rFonts w:ascii="Times New Roman" w:eastAsiaTheme="minorEastAsia" w:hAnsi="Times New Roman" w:cs="Times New Roman"/>
          <w:noProof/>
        </w:rPr>
      </w:pPr>
      <w:hyperlink w:anchor="_Toc227163561" w:history="1">
        <w:r w:rsidRPr="00045A7D">
          <w:rPr>
            <w:rStyle w:val="Hyperlink"/>
            <w:rFonts w:ascii="Times New Roman" w:hAnsi="Times New Roman" w:cs="Times New Roman"/>
            <w:noProof/>
          </w:rPr>
          <w:t>References</w:t>
        </w:r>
        <w:r w:rsidRPr="00045A7D">
          <w:rPr>
            <w:rFonts w:ascii="Times New Roman" w:hAnsi="Times New Roman" w:cs="Times New Roman"/>
            <w:noProof/>
            <w:webHidden/>
          </w:rPr>
          <w:tab/>
        </w:r>
        <w:r w:rsidRPr="00045A7D">
          <w:rPr>
            <w:rFonts w:ascii="Times New Roman" w:hAnsi="Times New Roman" w:cs="Times New Roman"/>
            <w:noProof/>
            <w:webHidden/>
          </w:rPr>
          <w:fldChar w:fldCharType="begin"/>
        </w:r>
        <w:r w:rsidRPr="00045A7D">
          <w:rPr>
            <w:rFonts w:ascii="Times New Roman" w:hAnsi="Times New Roman" w:cs="Times New Roman"/>
            <w:noProof/>
            <w:webHidden/>
          </w:rPr>
          <w:instrText xml:space="preserve"> PAGEREF _Toc227163561 \h </w:instrText>
        </w:r>
        <w:r w:rsidRPr="00045A7D">
          <w:rPr>
            <w:rFonts w:ascii="Times New Roman" w:hAnsi="Times New Roman" w:cs="Times New Roman"/>
            <w:noProof/>
            <w:webHidden/>
          </w:rPr>
        </w:r>
        <w:r w:rsidRPr="00045A7D">
          <w:rPr>
            <w:rFonts w:ascii="Times New Roman" w:hAnsi="Times New Roman" w:cs="Times New Roman"/>
            <w:noProof/>
            <w:webHidden/>
          </w:rPr>
          <w:fldChar w:fldCharType="separate"/>
        </w:r>
        <w:r w:rsidR="009F03FD">
          <w:rPr>
            <w:rFonts w:ascii="Times New Roman" w:hAnsi="Times New Roman" w:cs="Times New Roman"/>
            <w:noProof/>
            <w:webHidden/>
          </w:rPr>
          <w:t>31</w:t>
        </w:r>
        <w:r w:rsidRPr="00045A7D">
          <w:rPr>
            <w:rFonts w:ascii="Times New Roman" w:hAnsi="Times New Roman" w:cs="Times New Roman"/>
            <w:noProof/>
            <w:webHidden/>
          </w:rPr>
          <w:fldChar w:fldCharType="end"/>
        </w:r>
      </w:hyperlink>
    </w:p>
    <w:p w14:paraId="4FC13483" w14:textId="4F3B6FFA" w:rsidR="00EF4B39" w:rsidRPr="007931E5" w:rsidRDefault="00EF4B39" w:rsidP="00EF4B39">
      <w:pPr>
        <w:jc w:val="center"/>
        <w:rPr>
          <w:rFonts w:ascii="Times New Roman" w:hAnsi="Times New Roman" w:cs="Times New Roman"/>
          <w:b/>
          <w:bCs/>
        </w:rPr>
      </w:pPr>
      <w:r w:rsidRPr="007931E5">
        <w:rPr>
          <w:rFonts w:ascii="Times New Roman" w:hAnsi="Times New Roman" w:cs="Times New Roman"/>
          <w:u w:color="FFFFFF" w:themeColor="background1"/>
        </w:rPr>
        <w:fldChar w:fldCharType="end"/>
      </w:r>
    </w:p>
    <w:p w14:paraId="5641D0A2" w14:textId="77777777" w:rsidR="00EF4B39" w:rsidRPr="007931E5" w:rsidRDefault="00EF4B39" w:rsidP="0010176D">
      <w:pPr>
        <w:rPr>
          <w:rFonts w:ascii="Times New Roman" w:hAnsi="Times New Roman" w:cs="Times New Roman"/>
          <w:b/>
          <w:bCs/>
        </w:rPr>
      </w:pPr>
    </w:p>
    <w:p w14:paraId="7A8F08BF" w14:textId="77777777" w:rsidR="00EF4B39" w:rsidRDefault="00EF4B39" w:rsidP="0010176D">
      <w:pPr>
        <w:rPr>
          <w:rFonts w:ascii="Times New Roman" w:hAnsi="Times New Roman" w:cs="Times New Roman"/>
          <w:b/>
          <w:bCs/>
        </w:rPr>
      </w:pPr>
    </w:p>
    <w:p w14:paraId="0498EDE4" w14:textId="77777777" w:rsidR="00425BC5" w:rsidRDefault="00425BC5">
      <w:pPr>
        <w:rPr>
          <w:rFonts w:ascii="Times New Roman" w:eastAsiaTheme="majorEastAsia" w:hAnsi="Times New Roman" w:cs="Times New Roman"/>
          <w:b/>
          <w:bCs/>
          <w:sz w:val="32"/>
          <w:szCs w:val="32"/>
        </w:rPr>
      </w:pPr>
      <w:r>
        <w:rPr>
          <w:rFonts w:ascii="Times New Roman" w:hAnsi="Times New Roman" w:cs="Times New Roman"/>
          <w:b/>
          <w:bCs/>
          <w:sz w:val="32"/>
          <w:szCs w:val="32"/>
        </w:rPr>
        <w:br w:type="page"/>
      </w:r>
    </w:p>
    <w:p w14:paraId="3CB13192" w14:textId="7ADFFF08" w:rsidR="00091895" w:rsidRPr="005914F3" w:rsidRDefault="00091895" w:rsidP="005914F3">
      <w:pPr>
        <w:pStyle w:val="Heading1"/>
        <w:spacing w:after="360"/>
        <w:rPr>
          <w:rFonts w:ascii="Times New Roman" w:hAnsi="Times New Roman" w:cs="Times New Roman"/>
          <w:b/>
          <w:bCs/>
          <w:color w:val="auto"/>
          <w:sz w:val="32"/>
          <w:szCs w:val="32"/>
        </w:rPr>
      </w:pPr>
      <w:bookmarkStart w:id="0" w:name="_Toc227163549"/>
      <w:r w:rsidRPr="005914F3">
        <w:rPr>
          <w:rFonts w:ascii="Times New Roman" w:hAnsi="Times New Roman" w:cs="Times New Roman"/>
          <w:b/>
          <w:bCs/>
          <w:color w:val="auto"/>
          <w:sz w:val="32"/>
          <w:szCs w:val="32"/>
        </w:rPr>
        <w:lastRenderedPageBreak/>
        <w:t>Abstract</w:t>
      </w:r>
      <w:bookmarkEnd w:id="0"/>
    </w:p>
    <w:p w14:paraId="2DFA9414" w14:textId="316276F6" w:rsidR="005914F3" w:rsidRPr="005914F3" w:rsidRDefault="005914F3" w:rsidP="005914F3">
      <w:pPr>
        <w:spacing w:after="0" w:line="480" w:lineRule="auto"/>
        <w:ind w:firstLine="720"/>
        <w:rPr>
          <w:rFonts w:ascii="Times New Roman" w:hAnsi="Times New Roman" w:cs="Times New Roman"/>
        </w:rPr>
      </w:pPr>
      <w:r w:rsidRPr="005914F3">
        <w:rPr>
          <w:rFonts w:ascii="Times New Roman" w:hAnsi="Times New Roman" w:cs="Times New Roman"/>
        </w:rPr>
        <w:t>Assured access to space is foundational to U.S. national security, yet the rapid growth of commercial space activity has challenged legacy government launch models optimized for infrequent, risk</w:t>
      </w:r>
      <w:r w:rsidRPr="005914F3">
        <w:rPr>
          <w:rFonts w:ascii="Times New Roman" w:hAnsi="Times New Roman" w:cs="Times New Roman"/>
        </w:rPr>
        <w:noBreakHyphen/>
        <w:t xml:space="preserve">averse missions. As U.S. launch cadence increased from roughly </w:t>
      </w:r>
      <w:r>
        <w:rPr>
          <w:rFonts w:ascii="Times New Roman" w:hAnsi="Times New Roman" w:cs="Times New Roman"/>
        </w:rPr>
        <w:t>10</w:t>
      </w:r>
      <w:r w:rsidRPr="005914F3">
        <w:rPr>
          <w:rFonts w:ascii="Times New Roman" w:hAnsi="Times New Roman" w:cs="Times New Roman"/>
        </w:rPr>
        <w:t xml:space="preserve"> launches per year to more than </w:t>
      </w:r>
      <w:r>
        <w:rPr>
          <w:rFonts w:ascii="Times New Roman" w:hAnsi="Times New Roman" w:cs="Times New Roman"/>
        </w:rPr>
        <w:t>100 per year,</w:t>
      </w:r>
      <w:r w:rsidRPr="005914F3">
        <w:rPr>
          <w:rFonts w:ascii="Times New Roman" w:hAnsi="Times New Roman" w:cs="Times New Roman"/>
        </w:rPr>
        <w:t xml:space="preserve"> existing governance, regulatory processes, and organizational structures risked becoming constraints </w:t>
      </w:r>
      <w:r>
        <w:rPr>
          <w:rFonts w:ascii="Times New Roman" w:hAnsi="Times New Roman" w:cs="Times New Roman"/>
        </w:rPr>
        <w:t>to launch</w:t>
      </w:r>
      <w:r w:rsidRPr="005914F3">
        <w:rPr>
          <w:rFonts w:ascii="Times New Roman" w:hAnsi="Times New Roman" w:cs="Times New Roman"/>
        </w:rPr>
        <w:t xml:space="preserve"> rather than enablers. This paper examines how the United States preserved assured access to space in this high</w:t>
      </w:r>
      <w:r w:rsidRPr="005914F3">
        <w:rPr>
          <w:rFonts w:ascii="Times New Roman" w:hAnsi="Times New Roman" w:cs="Times New Roman"/>
        </w:rPr>
        <w:noBreakHyphen/>
        <w:t>cadence environment by redefining the federal government’s role in space launch.</w:t>
      </w:r>
    </w:p>
    <w:p w14:paraId="010F813C" w14:textId="02C7EC8B" w:rsidR="005914F3" w:rsidRPr="005914F3" w:rsidRDefault="005914F3" w:rsidP="005914F3">
      <w:pPr>
        <w:spacing w:after="0" w:line="480" w:lineRule="auto"/>
        <w:ind w:firstLine="720"/>
        <w:rPr>
          <w:rFonts w:ascii="Times New Roman" w:hAnsi="Times New Roman" w:cs="Times New Roman"/>
        </w:rPr>
      </w:pPr>
      <w:r w:rsidRPr="005914F3">
        <w:rPr>
          <w:rFonts w:ascii="Times New Roman" w:hAnsi="Times New Roman" w:cs="Times New Roman"/>
        </w:rPr>
        <w:t xml:space="preserve">The research employs </w:t>
      </w:r>
      <w:r w:rsidR="00D528E4">
        <w:rPr>
          <w:rFonts w:ascii="Times New Roman" w:hAnsi="Times New Roman" w:cs="Times New Roman"/>
        </w:rPr>
        <w:t xml:space="preserve">an analysis of the </w:t>
      </w:r>
      <w:r w:rsidRPr="005914F3">
        <w:rPr>
          <w:rFonts w:ascii="Times New Roman" w:hAnsi="Times New Roman" w:cs="Times New Roman"/>
        </w:rPr>
        <w:t>legislative and regulatory</w:t>
      </w:r>
      <w:r w:rsidR="00D528E4">
        <w:rPr>
          <w:rFonts w:ascii="Times New Roman" w:hAnsi="Times New Roman" w:cs="Times New Roman"/>
        </w:rPr>
        <w:t xml:space="preserve"> environment</w:t>
      </w:r>
      <w:r w:rsidRPr="005914F3">
        <w:rPr>
          <w:rFonts w:ascii="Times New Roman" w:hAnsi="Times New Roman" w:cs="Times New Roman"/>
        </w:rPr>
        <w:t>, primary interviews with government and industry stakeholders, and John Kotter’s change</w:t>
      </w:r>
      <w:r w:rsidRPr="005914F3">
        <w:rPr>
          <w:rFonts w:ascii="Times New Roman" w:hAnsi="Times New Roman" w:cs="Times New Roman"/>
        </w:rPr>
        <w:noBreakHyphen/>
        <w:t>management framework to assess how policy reform and organizational change were implemented and sustained within the U.S. Space Force. The findings show that expanded statutory authorities, streamlined FAA licensing, and deliberate cultural shifts enabled the government’s transition from launch operator to spaceport manager and strategic facilitator.</w:t>
      </w:r>
    </w:p>
    <w:p w14:paraId="4ADD9697" w14:textId="77777777" w:rsidR="005914F3" w:rsidRPr="005914F3" w:rsidRDefault="005914F3" w:rsidP="005914F3">
      <w:pPr>
        <w:spacing w:after="0" w:line="480" w:lineRule="auto"/>
        <w:ind w:firstLine="720"/>
        <w:rPr>
          <w:rFonts w:ascii="Times New Roman" w:hAnsi="Times New Roman" w:cs="Times New Roman"/>
        </w:rPr>
      </w:pPr>
      <w:r w:rsidRPr="005914F3">
        <w:rPr>
          <w:rFonts w:ascii="Times New Roman" w:hAnsi="Times New Roman" w:cs="Times New Roman"/>
        </w:rPr>
        <w:t>The paper concludes that assuring access to space in the modern era depends less on direct government control and more on the government’s ability to enable scale, speed, and resilience without becoming the limiting factor. Policy recommendations focus on reinforcing this facilitator model to ensure durable, scalable space access in an increasingly contested domain.</w:t>
      </w:r>
    </w:p>
    <w:p w14:paraId="433966D8" w14:textId="77777777" w:rsidR="005914F3" w:rsidRDefault="005914F3" w:rsidP="005914F3"/>
    <w:p w14:paraId="302D7C12" w14:textId="77777777" w:rsidR="004F5045" w:rsidRPr="005914F3" w:rsidRDefault="004F5045" w:rsidP="005914F3"/>
    <w:p w14:paraId="0003166F" w14:textId="6AC4DB6E" w:rsidR="0010176D" w:rsidRPr="007931E5" w:rsidRDefault="0010176D" w:rsidP="004F5045">
      <w:pPr>
        <w:pStyle w:val="Heading1"/>
        <w:spacing w:after="360"/>
        <w:rPr>
          <w:rFonts w:ascii="Times New Roman" w:hAnsi="Times New Roman" w:cs="Times New Roman"/>
          <w:b/>
          <w:bCs/>
          <w:color w:val="auto"/>
          <w:sz w:val="32"/>
          <w:szCs w:val="32"/>
        </w:rPr>
      </w:pPr>
      <w:bookmarkStart w:id="1" w:name="_Toc227163550"/>
      <w:r w:rsidRPr="007931E5">
        <w:rPr>
          <w:rFonts w:ascii="Times New Roman" w:hAnsi="Times New Roman" w:cs="Times New Roman"/>
          <w:b/>
          <w:bCs/>
          <w:color w:val="auto"/>
          <w:sz w:val="32"/>
          <w:szCs w:val="32"/>
        </w:rPr>
        <w:lastRenderedPageBreak/>
        <w:t>Executive Summary</w:t>
      </w:r>
      <w:bookmarkEnd w:id="1"/>
    </w:p>
    <w:p w14:paraId="11805873" w14:textId="77777777" w:rsidR="0010176D" w:rsidRPr="0010176D" w:rsidRDefault="0010176D" w:rsidP="004F5045">
      <w:pPr>
        <w:spacing w:after="0" w:line="480" w:lineRule="auto"/>
        <w:ind w:firstLine="720"/>
        <w:rPr>
          <w:rFonts w:ascii="Times New Roman" w:hAnsi="Times New Roman" w:cs="Times New Roman"/>
        </w:rPr>
      </w:pPr>
      <w:r w:rsidRPr="0010176D">
        <w:rPr>
          <w:rFonts w:ascii="Times New Roman" w:hAnsi="Times New Roman" w:cs="Times New Roman"/>
        </w:rPr>
        <w:t>Assured access to space is foundational to U.S. national security, enabling the deployment, sustainment, and reconstitution of critical military, intelligence, civil, and commercial space capabilities. Historically, this assurance was achieved through a government</w:t>
      </w:r>
      <w:r w:rsidRPr="0010176D">
        <w:rPr>
          <w:rFonts w:ascii="Times New Roman" w:hAnsi="Times New Roman" w:cs="Times New Roman"/>
        </w:rPr>
        <w:noBreakHyphen/>
        <w:t>operated launch enterprise optimized for infrequent, high</w:t>
      </w:r>
      <w:r w:rsidRPr="0010176D">
        <w:rPr>
          <w:rFonts w:ascii="Times New Roman" w:hAnsi="Times New Roman" w:cs="Times New Roman"/>
        </w:rPr>
        <w:noBreakHyphen/>
        <w:t>value missions and highly conservative risk management. Over the past decade, however, the rapid proliferation of commercial low Earth orbit satellite constellations increased U.S. launch cadence from roughly ten launches per year to more than one hundred, fundamentally straining legacy launch governance, infrastructure, and organizational models.</w:t>
      </w:r>
    </w:p>
    <w:p w14:paraId="03CDE922" w14:textId="77777777" w:rsidR="0010176D" w:rsidRPr="0010176D" w:rsidRDefault="0010176D" w:rsidP="004F5045">
      <w:pPr>
        <w:spacing w:after="0" w:line="480" w:lineRule="auto"/>
        <w:ind w:firstLine="720"/>
        <w:rPr>
          <w:rFonts w:ascii="Times New Roman" w:hAnsi="Times New Roman" w:cs="Times New Roman"/>
        </w:rPr>
      </w:pPr>
      <w:r w:rsidRPr="0010176D">
        <w:rPr>
          <w:rFonts w:ascii="Times New Roman" w:hAnsi="Times New Roman" w:cs="Times New Roman"/>
        </w:rPr>
        <w:t>This paper examines how the United States preserved assured access to space amid this surge in launch demand by redefining the federal government’s role in space launch. Rather than remaining a direct operator of launch missions, the U.S. government—led by the U.S. Space Force—transitioned to a model centered on strategic facilitation, spaceport management, and partnership with a predominantly commercial launch industry. This shift constituted a true government turnaround, requiring coordinated changes in policy, regulation, organizational structure, and culture.</w:t>
      </w:r>
    </w:p>
    <w:p w14:paraId="0D7564E1" w14:textId="77777777" w:rsidR="0010176D" w:rsidRPr="0010176D" w:rsidRDefault="0010176D" w:rsidP="004F5045">
      <w:pPr>
        <w:spacing w:after="0" w:line="480" w:lineRule="auto"/>
        <w:ind w:firstLine="720"/>
        <w:rPr>
          <w:rFonts w:ascii="Times New Roman" w:hAnsi="Times New Roman" w:cs="Times New Roman"/>
        </w:rPr>
      </w:pPr>
      <w:r w:rsidRPr="0010176D">
        <w:rPr>
          <w:rFonts w:ascii="Times New Roman" w:hAnsi="Times New Roman" w:cs="Times New Roman"/>
        </w:rPr>
        <w:t>Using legislative and regulatory analysis, primary interviews, and John Kotter’s change</w:t>
      </w:r>
      <w:r w:rsidRPr="0010176D">
        <w:rPr>
          <w:rFonts w:ascii="Times New Roman" w:hAnsi="Times New Roman" w:cs="Times New Roman"/>
        </w:rPr>
        <w:noBreakHyphen/>
        <w:t>management framework, the paper traces how this transition unfolded. Policy reforms expanded Title 10 authorities for commercial launch cooperation, modernized FAA licensing through performance</w:t>
      </w:r>
      <w:r w:rsidRPr="0010176D">
        <w:rPr>
          <w:rFonts w:ascii="Times New Roman" w:hAnsi="Times New Roman" w:cs="Times New Roman"/>
        </w:rPr>
        <w:noBreakHyphen/>
        <w:t>based regulations, and reduced duplication through formal FAA–Space Force reciprocity. Organizational consolidation under a unified Assured Access to Space enterprise clarified authority and accelerated decision</w:t>
      </w:r>
      <w:r w:rsidRPr="0010176D">
        <w:rPr>
          <w:rFonts w:ascii="Times New Roman" w:hAnsi="Times New Roman" w:cs="Times New Roman"/>
        </w:rPr>
        <w:noBreakHyphen/>
        <w:t>making. Equally critical, Space Force leadership drove cultural change—establishing urgency, empowering cross</w:t>
      </w:r>
      <w:r w:rsidRPr="0010176D">
        <w:rPr>
          <w:rFonts w:ascii="Times New Roman" w:hAnsi="Times New Roman" w:cs="Times New Roman"/>
        </w:rPr>
        <w:noBreakHyphen/>
        <w:t xml:space="preserve">agency coalitions, </w:t>
      </w:r>
      <w:r w:rsidRPr="0010176D">
        <w:rPr>
          <w:rFonts w:ascii="Times New Roman" w:hAnsi="Times New Roman" w:cs="Times New Roman"/>
        </w:rPr>
        <w:lastRenderedPageBreak/>
        <w:t>reframing safety from a posture of “no because” to “yes if,” and institutionalizing new behaviors through visible short</w:t>
      </w:r>
      <w:r w:rsidRPr="0010176D">
        <w:rPr>
          <w:rFonts w:ascii="Times New Roman" w:hAnsi="Times New Roman" w:cs="Times New Roman"/>
        </w:rPr>
        <w:noBreakHyphen/>
        <w:t>term wins.</w:t>
      </w:r>
    </w:p>
    <w:p w14:paraId="38A3ADC4" w14:textId="241D335C" w:rsidR="0010176D" w:rsidRPr="0010176D" w:rsidRDefault="0010176D" w:rsidP="006A1427">
      <w:pPr>
        <w:spacing w:after="0" w:line="480" w:lineRule="auto"/>
        <w:ind w:firstLine="720"/>
        <w:rPr>
          <w:rFonts w:ascii="Times New Roman" w:hAnsi="Times New Roman" w:cs="Times New Roman"/>
        </w:rPr>
      </w:pPr>
      <w:r w:rsidRPr="0010176D">
        <w:rPr>
          <w:rFonts w:ascii="Times New Roman" w:hAnsi="Times New Roman" w:cs="Times New Roman"/>
        </w:rPr>
        <w:t>The analysis finds that the United States successfully adapted its launch enterprise to support sustained high</w:t>
      </w:r>
      <w:r w:rsidRPr="0010176D">
        <w:rPr>
          <w:rFonts w:ascii="Times New Roman" w:hAnsi="Times New Roman" w:cs="Times New Roman"/>
        </w:rPr>
        <w:noBreakHyphen/>
        <w:t>cadence operations without sacrificing public safety or mission assurance. However, the transformation remains incomplete. Infrastructure constraints, regulatory friction, fragmented decision authority, and risks of cultural regression threaten scalability to the next order of magnitude.</w:t>
      </w:r>
      <w:r w:rsidR="006A1427">
        <w:rPr>
          <w:rFonts w:ascii="Times New Roman" w:hAnsi="Times New Roman" w:cs="Times New Roman"/>
        </w:rPr>
        <w:t xml:space="preserve"> </w:t>
      </w:r>
      <w:r w:rsidRPr="0010176D">
        <w:rPr>
          <w:rFonts w:ascii="Times New Roman" w:hAnsi="Times New Roman" w:cs="Times New Roman"/>
        </w:rPr>
        <w:t>The paper concludes that assured access to space in the modern era depends less on direct government control and more on the government’s ability to enable speed, resilience, and scale without becoming the limiting factor. The policy recommendations that follow focus on reinforcing this facilitator model to ensure durable, scalable space access in an increasingly contested domain.</w:t>
      </w:r>
    </w:p>
    <w:p w14:paraId="73F38B02" w14:textId="77777777" w:rsidR="0010176D" w:rsidRDefault="0010176D" w:rsidP="004F5045">
      <w:pPr>
        <w:spacing w:after="0" w:line="480" w:lineRule="auto"/>
      </w:pPr>
    </w:p>
    <w:p w14:paraId="74B14061" w14:textId="77777777" w:rsidR="0010176D" w:rsidRDefault="0010176D"/>
    <w:p w14:paraId="36159B6F" w14:textId="77777777" w:rsidR="00FA0887" w:rsidRDefault="00FA0887">
      <w:pPr>
        <w:rPr>
          <w:rFonts w:ascii="Times New Roman" w:hAnsi="Times New Roman" w:cs="Times New Roman"/>
        </w:rPr>
      </w:pPr>
    </w:p>
    <w:p w14:paraId="619A3E54" w14:textId="77777777" w:rsidR="00FA0887" w:rsidRDefault="00FA0887">
      <w:pPr>
        <w:rPr>
          <w:rFonts w:ascii="Times New Roman" w:hAnsi="Times New Roman" w:cs="Times New Roman"/>
        </w:rPr>
      </w:pPr>
    </w:p>
    <w:p w14:paraId="0114AD7D" w14:textId="77777777" w:rsidR="00FA0887" w:rsidRDefault="00FA0887">
      <w:pPr>
        <w:rPr>
          <w:rFonts w:ascii="Times New Roman" w:hAnsi="Times New Roman" w:cs="Times New Roman"/>
        </w:rPr>
      </w:pPr>
    </w:p>
    <w:p w14:paraId="50331D84" w14:textId="77777777" w:rsidR="00FA0887" w:rsidRDefault="00FA0887">
      <w:pPr>
        <w:rPr>
          <w:rFonts w:ascii="Times New Roman" w:hAnsi="Times New Roman" w:cs="Times New Roman"/>
        </w:rPr>
      </w:pPr>
    </w:p>
    <w:p w14:paraId="2712FCE6" w14:textId="77777777" w:rsidR="00FA0887" w:rsidRDefault="00FA0887">
      <w:pPr>
        <w:rPr>
          <w:rFonts w:ascii="Times New Roman" w:hAnsi="Times New Roman" w:cs="Times New Roman"/>
        </w:rPr>
      </w:pPr>
    </w:p>
    <w:p w14:paraId="772D21BE" w14:textId="77777777" w:rsidR="005A7E25" w:rsidRDefault="005A7E25">
      <w:pPr>
        <w:rPr>
          <w:rFonts w:ascii="Times New Roman" w:hAnsi="Times New Roman" w:cs="Times New Roman"/>
        </w:rPr>
      </w:pPr>
    </w:p>
    <w:p w14:paraId="77121AB6" w14:textId="77777777" w:rsidR="005A7E25" w:rsidRDefault="005A7E25">
      <w:pPr>
        <w:rPr>
          <w:rFonts w:ascii="Times New Roman" w:hAnsi="Times New Roman" w:cs="Times New Roman"/>
        </w:rPr>
      </w:pPr>
    </w:p>
    <w:p w14:paraId="29E35720" w14:textId="77777777" w:rsidR="008D0C8D" w:rsidRDefault="008D0C8D" w:rsidP="007931E5">
      <w:pPr>
        <w:pStyle w:val="Heading1"/>
        <w:rPr>
          <w:rFonts w:ascii="Times New Roman" w:hAnsi="Times New Roman" w:cs="Times New Roman"/>
          <w:b/>
          <w:bCs/>
          <w:color w:val="auto"/>
          <w:sz w:val="32"/>
          <w:szCs w:val="32"/>
        </w:rPr>
        <w:sectPr w:rsidR="008D0C8D" w:rsidSect="00005B7C">
          <w:footerReference w:type="default" r:id="rId8"/>
          <w:endnotePr>
            <w:numFmt w:val="decimal"/>
          </w:endnotePr>
          <w:pgSz w:w="12240" w:h="15840"/>
          <w:pgMar w:top="1440" w:right="1440" w:bottom="1440" w:left="1440" w:header="720" w:footer="720" w:gutter="0"/>
          <w:pgNumType w:fmt="lowerRoman" w:start="1"/>
          <w:cols w:space="720"/>
          <w:titlePg/>
          <w:docGrid w:linePitch="360"/>
        </w:sectPr>
      </w:pPr>
    </w:p>
    <w:p w14:paraId="114D4B9A" w14:textId="462E5B8B" w:rsidR="002B286E" w:rsidRPr="007931E5" w:rsidRDefault="007931E5" w:rsidP="00045A7D">
      <w:pPr>
        <w:pStyle w:val="Heading1"/>
        <w:spacing w:after="360"/>
        <w:rPr>
          <w:rFonts w:ascii="Times New Roman" w:hAnsi="Times New Roman" w:cs="Times New Roman"/>
          <w:b/>
          <w:bCs/>
          <w:color w:val="auto"/>
          <w:sz w:val="32"/>
          <w:szCs w:val="32"/>
        </w:rPr>
      </w:pPr>
      <w:bookmarkStart w:id="4" w:name="_Toc227163551"/>
      <w:r>
        <w:rPr>
          <w:rFonts w:ascii="Times New Roman" w:hAnsi="Times New Roman" w:cs="Times New Roman"/>
          <w:b/>
          <w:bCs/>
          <w:color w:val="auto"/>
          <w:sz w:val="32"/>
          <w:szCs w:val="32"/>
        </w:rPr>
        <w:lastRenderedPageBreak/>
        <w:t>Introduction</w:t>
      </w:r>
      <w:r w:rsidR="001473F6" w:rsidRPr="009A4690">
        <w:rPr>
          <w:rStyle w:val="FootnoteReference"/>
          <w:rFonts w:ascii="Times New Roman" w:hAnsi="Times New Roman" w:cs="Times New Roman"/>
          <w:color w:val="auto"/>
          <w:sz w:val="20"/>
          <w:szCs w:val="20"/>
        </w:rPr>
        <w:footnoteReference w:id="1"/>
      </w:r>
      <w:bookmarkEnd w:id="4"/>
    </w:p>
    <w:p w14:paraId="6842DDF9" w14:textId="59B5D883" w:rsidR="00D84C1D" w:rsidRPr="00D84C1D" w:rsidRDefault="00D84C1D" w:rsidP="00045A7D">
      <w:pPr>
        <w:spacing w:after="0" w:line="480" w:lineRule="auto"/>
        <w:ind w:firstLine="720"/>
        <w:rPr>
          <w:rFonts w:ascii="Times New Roman" w:hAnsi="Times New Roman" w:cs="Times New Roman"/>
          <w:bCs/>
        </w:rPr>
      </w:pPr>
      <w:r w:rsidRPr="00D84C1D">
        <w:rPr>
          <w:rFonts w:ascii="Times New Roman" w:hAnsi="Times New Roman" w:cs="Times New Roman"/>
          <w:bCs/>
        </w:rPr>
        <w:t>Space launch is foundational to U.S. national security because it underpins assured access to space</w:t>
      </w:r>
      <w:r w:rsidR="00E37716" w:rsidRPr="0010176D">
        <w:rPr>
          <w:rFonts w:ascii="Times New Roman" w:hAnsi="Times New Roman" w:cs="Times New Roman"/>
          <w:bCs/>
        </w:rPr>
        <w:t xml:space="preserve"> and </w:t>
      </w:r>
      <w:r w:rsidRPr="00D84C1D">
        <w:rPr>
          <w:rFonts w:ascii="Times New Roman" w:hAnsi="Times New Roman" w:cs="Times New Roman"/>
          <w:bCs/>
        </w:rPr>
        <w:t xml:space="preserve">the ability to place, sustain, and reconstitute critical space capabilities despite technological, operational, or adversary disruption. In the 21st century, that assurance has come under strain not from a lack of launch technology, but from a dramatic increase in launch demand driven by commercial proliferation </w:t>
      </w:r>
      <w:r w:rsidR="008B3890" w:rsidRPr="0010176D">
        <w:rPr>
          <w:rFonts w:ascii="Times New Roman" w:hAnsi="Times New Roman" w:cs="Times New Roman"/>
          <w:bCs/>
        </w:rPr>
        <w:t>of</w:t>
      </w:r>
      <w:r w:rsidRPr="00D84C1D">
        <w:rPr>
          <w:rFonts w:ascii="Times New Roman" w:hAnsi="Times New Roman" w:cs="Times New Roman"/>
          <w:bCs/>
        </w:rPr>
        <w:t xml:space="preserve"> low </w:t>
      </w:r>
      <w:r w:rsidR="005D4BA1" w:rsidRPr="0010176D">
        <w:rPr>
          <w:rFonts w:ascii="Times New Roman" w:hAnsi="Times New Roman" w:cs="Times New Roman"/>
          <w:bCs/>
        </w:rPr>
        <w:t>e</w:t>
      </w:r>
      <w:r w:rsidRPr="00D84C1D">
        <w:rPr>
          <w:rFonts w:ascii="Times New Roman" w:hAnsi="Times New Roman" w:cs="Times New Roman"/>
          <w:bCs/>
        </w:rPr>
        <w:t>arth orbit satellite constellations</w:t>
      </w:r>
      <w:r w:rsidR="008B3890" w:rsidRPr="0010176D">
        <w:rPr>
          <w:rFonts w:ascii="Times New Roman" w:hAnsi="Times New Roman" w:cs="Times New Roman"/>
          <w:bCs/>
        </w:rPr>
        <w:t xml:space="preserve"> and increased adversary capabilities in the space domain</w:t>
      </w:r>
      <w:r w:rsidRPr="00D84C1D">
        <w:rPr>
          <w:rFonts w:ascii="Times New Roman" w:hAnsi="Times New Roman" w:cs="Times New Roman"/>
          <w:bCs/>
        </w:rPr>
        <w:t xml:space="preserve">. As U.S. launch cadence surged from approximately </w:t>
      </w:r>
      <w:r w:rsidR="00AC4EDE" w:rsidRPr="0010176D">
        <w:rPr>
          <w:rFonts w:ascii="Times New Roman" w:hAnsi="Times New Roman" w:cs="Times New Roman"/>
          <w:bCs/>
        </w:rPr>
        <w:t>10</w:t>
      </w:r>
      <w:r w:rsidRPr="00D84C1D">
        <w:rPr>
          <w:rFonts w:ascii="Times New Roman" w:hAnsi="Times New Roman" w:cs="Times New Roman"/>
          <w:bCs/>
        </w:rPr>
        <w:t xml:space="preserve"> launches per year to more than </w:t>
      </w:r>
      <w:r w:rsidR="00AC4EDE" w:rsidRPr="0010176D">
        <w:rPr>
          <w:rFonts w:ascii="Times New Roman" w:hAnsi="Times New Roman" w:cs="Times New Roman"/>
          <w:bCs/>
        </w:rPr>
        <w:t>100 per year</w:t>
      </w:r>
      <w:r w:rsidRPr="00D84C1D">
        <w:rPr>
          <w:rFonts w:ascii="Times New Roman" w:hAnsi="Times New Roman" w:cs="Times New Roman"/>
          <w:bCs/>
        </w:rPr>
        <w:t xml:space="preserve">, </w:t>
      </w:r>
      <w:r w:rsidR="00AC4EDE" w:rsidRPr="0010176D">
        <w:rPr>
          <w:rFonts w:ascii="Times New Roman" w:hAnsi="Times New Roman" w:cs="Times New Roman"/>
          <w:bCs/>
        </w:rPr>
        <w:t xml:space="preserve">the </w:t>
      </w:r>
      <w:r w:rsidRPr="00D84C1D">
        <w:rPr>
          <w:rFonts w:ascii="Times New Roman" w:hAnsi="Times New Roman" w:cs="Times New Roman"/>
          <w:bCs/>
        </w:rPr>
        <w:t xml:space="preserve">legacy government </w:t>
      </w:r>
      <w:r w:rsidR="00AC4EDE" w:rsidRPr="0010176D">
        <w:rPr>
          <w:rFonts w:ascii="Times New Roman" w:hAnsi="Times New Roman" w:cs="Times New Roman"/>
          <w:bCs/>
        </w:rPr>
        <w:t>approach for space access</w:t>
      </w:r>
      <w:r w:rsidR="002D3930" w:rsidRPr="0010176D">
        <w:rPr>
          <w:rFonts w:ascii="Times New Roman" w:hAnsi="Times New Roman" w:cs="Times New Roman"/>
          <w:bCs/>
        </w:rPr>
        <w:t>,</w:t>
      </w:r>
      <w:r w:rsidRPr="00D84C1D">
        <w:rPr>
          <w:rFonts w:ascii="Times New Roman" w:hAnsi="Times New Roman" w:cs="Times New Roman"/>
          <w:bCs/>
        </w:rPr>
        <w:t xml:space="preserve"> optimized for infrequent</w:t>
      </w:r>
      <w:r w:rsidR="002D3930" w:rsidRPr="0010176D">
        <w:rPr>
          <w:rFonts w:ascii="Times New Roman" w:hAnsi="Times New Roman" w:cs="Times New Roman"/>
          <w:bCs/>
        </w:rPr>
        <w:t>, high-value</w:t>
      </w:r>
      <w:r w:rsidRPr="00D84C1D">
        <w:rPr>
          <w:rFonts w:ascii="Times New Roman" w:hAnsi="Times New Roman" w:cs="Times New Roman"/>
          <w:bCs/>
        </w:rPr>
        <w:t xml:space="preserve"> missions</w:t>
      </w:r>
      <w:r w:rsidR="002D3930" w:rsidRPr="0010176D">
        <w:rPr>
          <w:rFonts w:ascii="Times New Roman" w:hAnsi="Times New Roman" w:cs="Times New Roman"/>
          <w:bCs/>
        </w:rPr>
        <w:t>,</w:t>
      </w:r>
      <w:r w:rsidRPr="00D84C1D">
        <w:rPr>
          <w:rFonts w:ascii="Times New Roman" w:hAnsi="Times New Roman" w:cs="Times New Roman"/>
          <w:bCs/>
        </w:rPr>
        <w:t xml:space="preserve"> risk</w:t>
      </w:r>
      <w:r w:rsidR="00C476E0">
        <w:rPr>
          <w:rFonts w:ascii="Times New Roman" w:hAnsi="Times New Roman" w:cs="Times New Roman"/>
          <w:bCs/>
        </w:rPr>
        <w:t>ed</w:t>
      </w:r>
      <w:r w:rsidRPr="00D84C1D">
        <w:rPr>
          <w:rFonts w:ascii="Times New Roman" w:hAnsi="Times New Roman" w:cs="Times New Roman"/>
          <w:bCs/>
        </w:rPr>
        <w:t xml:space="preserve"> becoming a constraint on access rather than a</w:t>
      </w:r>
      <w:r w:rsidR="002D3930" w:rsidRPr="0010176D">
        <w:rPr>
          <w:rFonts w:ascii="Times New Roman" w:hAnsi="Times New Roman" w:cs="Times New Roman"/>
          <w:bCs/>
        </w:rPr>
        <w:t xml:space="preserve">n enabler </w:t>
      </w:r>
      <w:r w:rsidRPr="00D84C1D">
        <w:rPr>
          <w:rFonts w:ascii="Times New Roman" w:hAnsi="Times New Roman" w:cs="Times New Roman"/>
          <w:bCs/>
        </w:rPr>
        <w:t>of it. This paper argues that the United States preserved assured access to space by deliberately redefining the federal government’s role</w:t>
      </w:r>
      <w:r w:rsidR="00E1749B" w:rsidRPr="0010176D">
        <w:rPr>
          <w:rFonts w:ascii="Times New Roman" w:hAnsi="Times New Roman" w:cs="Times New Roman"/>
          <w:bCs/>
        </w:rPr>
        <w:t xml:space="preserve"> </w:t>
      </w:r>
      <w:r w:rsidRPr="00D84C1D">
        <w:rPr>
          <w:rFonts w:ascii="Times New Roman" w:hAnsi="Times New Roman" w:cs="Times New Roman"/>
          <w:bCs/>
        </w:rPr>
        <w:t>from a direct operator of launch activity to a strategic facilitator and spaceport manager</w:t>
      </w:r>
      <w:r w:rsidR="00E1749B" w:rsidRPr="0010176D">
        <w:rPr>
          <w:rFonts w:ascii="Times New Roman" w:hAnsi="Times New Roman" w:cs="Times New Roman"/>
          <w:bCs/>
        </w:rPr>
        <w:t xml:space="preserve">, </w:t>
      </w:r>
      <w:r w:rsidRPr="00D84C1D">
        <w:rPr>
          <w:rFonts w:ascii="Times New Roman" w:hAnsi="Times New Roman" w:cs="Times New Roman"/>
          <w:bCs/>
        </w:rPr>
        <w:t>and that this shift represents a successful government turnaround enabled by policy reform, regulatory adaptation, and organizational change within the U.S. Space Force.</w:t>
      </w:r>
    </w:p>
    <w:p w14:paraId="43E86F94" w14:textId="77777777" w:rsidR="00C01201" w:rsidRPr="007931E5" w:rsidRDefault="00C01201" w:rsidP="00045A7D">
      <w:pPr>
        <w:pStyle w:val="Heading1"/>
        <w:spacing w:after="360"/>
        <w:rPr>
          <w:rFonts w:ascii="Times New Roman" w:hAnsi="Times New Roman" w:cs="Times New Roman"/>
          <w:b/>
          <w:bCs/>
          <w:color w:val="auto"/>
          <w:sz w:val="32"/>
          <w:szCs w:val="32"/>
        </w:rPr>
      </w:pPr>
      <w:bookmarkStart w:id="5" w:name="_Toc227163552"/>
      <w:r w:rsidRPr="007931E5">
        <w:rPr>
          <w:rFonts w:ascii="Times New Roman" w:hAnsi="Times New Roman" w:cs="Times New Roman"/>
          <w:b/>
          <w:bCs/>
          <w:color w:val="auto"/>
          <w:sz w:val="32"/>
          <w:szCs w:val="32"/>
        </w:rPr>
        <w:t>Methodology</w:t>
      </w:r>
      <w:bookmarkEnd w:id="5"/>
    </w:p>
    <w:p w14:paraId="470D6565" w14:textId="0C1653CA" w:rsidR="00C01201" w:rsidRPr="000D45C0" w:rsidRDefault="00D44FD4" w:rsidP="00045A7D">
      <w:pPr>
        <w:spacing w:after="0" w:line="480" w:lineRule="auto"/>
        <w:ind w:firstLine="720"/>
        <w:rPr>
          <w:rFonts w:ascii="Times New Roman" w:hAnsi="Times New Roman" w:cs="Times New Roman"/>
        </w:rPr>
      </w:pPr>
      <w:r w:rsidRPr="0010176D">
        <w:rPr>
          <w:rFonts w:ascii="Times New Roman" w:hAnsi="Times New Roman" w:cs="Times New Roman"/>
        </w:rPr>
        <w:t xml:space="preserve">This paper begins </w:t>
      </w:r>
      <w:r w:rsidR="00507191">
        <w:rPr>
          <w:rFonts w:ascii="Times New Roman" w:hAnsi="Times New Roman" w:cs="Times New Roman"/>
        </w:rPr>
        <w:t>by</w:t>
      </w:r>
      <w:r w:rsidR="00C01201" w:rsidRPr="0010176D">
        <w:rPr>
          <w:rFonts w:ascii="Times New Roman" w:hAnsi="Times New Roman" w:cs="Times New Roman"/>
        </w:rPr>
        <w:t xml:space="preserve"> review</w:t>
      </w:r>
      <w:r w:rsidR="00507191">
        <w:rPr>
          <w:rFonts w:ascii="Times New Roman" w:hAnsi="Times New Roman" w:cs="Times New Roman"/>
        </w:rPr>
        <w:t>ing</w:t>
      </w:r>
      <w:r w:rsidR="00C01201" w:rsidRPr="0010176D">
        <w:rPr>
          <w:rFonts w:ascii="Times New Roman" w:hAnsi="Times New Roman" w:cs="Times New Roman"/>
        </w:rPr>
        <w:t xml:space="preserve"> the key regulations and policies </w:t>
      </w:r>
      <w:r w:rsidR="00507191">
        <w:rPr>
          <w:rFonts w:ascii="Times New Roman" w:hAnsi="Times New Roman" w:cs="Times New Roman"/>
        </w:rPr>
        <w:t xml:space="preserve">in place </w:t>
      </w:r>
      <w:r w:rsidR="00C01201" w:rsidRPr="0010176D">
        <w:rPr>
          <w:rFonts w:ascii="Times New Roman" w:hAnsi="Times New Roman" w:cs="Times New Roman"/>
        </w:rPr>
        <w:t>prior to and during the transition from a government-centric model to a facilitator</w:t>
      </w:r>
      <w:r w:rsidRPr="0010176D">
        <w:rPr>
          <w:rFonts w:ascii="Times New Roman" w:hAnsi="Times New Roman" w:cs="Times New Roman"/>
        </w:rPr>
        <w:t xml:space="preserve"> and spaceport </w:t>
      </w:r>
      <w:r w:rsidR="00C01201" w:rsidRPr="0010176D">
        <w:rPr>
          <w:rFonts w:ascii="Times New Roman" w:hAnsi="Times New Roman" w:cs="Times New Roman"/>
        </w:rPr>
        <w:t xml:space="preserve">manager </w:t>
      </w:r>
      <w:r w:rsidR="00C01201" w:rsidRPr="0010176D">
        <w:rPr>
          <w:rFonts w:ascii="Times New Roman" w:hAnsi="Times New Roman" w:cs="Times New Roman"/>
        </w:rPr>
        <w:lastRenderedPageBreak/>
        <w:t xml:space="preserve">role. </w:t>
      </w:r>
      <w:r w:rsidRPr="0010176D">
        <w:rPr>
          <w:rFonts w:ascii="Times New Roman" w:hAnsi="Times New Roman" w:cs="Times New Roman"/>
        </w:rPr>
        <w:t>I</w:t>
      </w:r>
      <w:r w:rsidR="0097505C" w:rsidRPr="0010176D">
        <w:rPr>
          <w:rFonts w:ascii="Times New Roman" w:hAnsi="Times New Roman" w:cs="Times New Roman"/>
        </w:rPr>
        <w:t>t</w:t>
      </w:r>
      <w:r w:rsidR="004929C3">
        <w:rPr>
          <w:rFonts w:ascii="Times New Roman" w:hAnsi="Times New Roman" w:cs="Times New Roman"/>
        </w:rPr>
        <w:t xml:space="preserve"> then </w:t>
      </w:r>
      <w:r w:rsidR="00C01201" w:rsidRPr="0010176D">
        <w:rPr>
          <w:rFonts w:ascii="Times New Roman" w:hAnsi="Times New Roman" w:cs="Times New Roman"/>
        </w:rPr>
        <w:t>appl</w:t>
      </w:r>
      <w:r w:rsidR="00C90684" w:rsidRPr="0010176D">
        <w:rPr>
          <w:rFonts w:ascii="Times New Roman" w:hAnsi="Times New Roman" w:cs="Times New Roman"/>
        </w:rPr>
        <w:t>ies</w:t>
      </w:r>
      <w:r w:rsidR="004929C3">
        <w:rPr>
          <w:rFonts w:ascii="Times New Roman" w:hAnsi="Times New Roman" w:cs="Times New Roman"/>
        </w:rPr>
        <w:t xml:space="preserve"> John</w:t>
      </w:r>
      <w:r w:rsidR="00C90684" w:rsidRPr="0010176D">
        <w:rPr>
          <w:rFonts w:ascii="Times New Roman" w:hAnsi="Times New Roman" w:cs="Times New Roman"/>
        </w:rPr>
        <w:t xml:space="preserve"> </w:t>
      </w:r>
      <w:r w:rsidR="00E23AC6" w:rsidRPr="0010176D">
        <w:rPr>
          <w:rFonts w:ascii="Times New Roman" w:hAnsi="Times New Roman" w:cs="Times New Roman"/>
        </w:rPr>
        <w:t>Kotter’s</w:t>
      </w:r>
      <w:r w:rsidR="00C90684" w:rsidRPr="0010176D">
        <w:rPr>
          <w:rFonts w:ascii="Times New Roman" w:hAnsi="Times New Roman" w:cs="Times New Roman"/>
        </w:rPr>
        <w:t xml:space="preserve"> eight-st</w:t>
      </w:r>
      <w:r w:rsidR="005256DB" w:rsidRPr="0010176D">
        <w:rPr>
          <w:rFonts w:ascii="Times New Roman" w:hAnsi="Times New Roman" w:cs="Times New Roman"/>
        </w:rPr>
        <w:t xml:space="preserve">age </w:t>
      </w:r>
      <w:r w:rsidR="004929C3">
        <w:rPr>
          <w:rFonts w:ascii="Times New Roman" w:hAnsi="Times New Roman" w:cs="Times New Roman"/>
        </w:rPr>
        <w:t xml:space="preserve">organization </w:t>
      </w:r>
      <w:r w:rsidR="005256DB" w:rsidRPr="0010176D">
        <w:rPr>
          <w:rFonts w:ascii="Times New Roman" w:hAnsi="Times New Roman" w:cs="Times New Roman"/>
        </w:rPr>
        <w:t>change</w:t>
      </w:r>
      <w:r w:rsidR="00C90684" w:rsidRPr="0010176D">
        <w:rPr>
          <w:rFonts w:ascii="Times New Roman" w:hAnsi="Times New Roman" w:cs="Times New Roman"/>
        </w:rPr>
        <w:t xml:space="preserve"> process </w:t>
      </w:r>
      <w:r w:rsidR="00C01201" w:rsidRPr="0010176D">
        <w:rPr>
          <w:rFonts w:ascii="Times New Roman" w:hAnsi="Times New Roman" w:cs="Times New Roman"/>
        </w:rPr>
        <w:t xml:space="preserve">to explore how the U.S. Space Force enabled this transition. </w:t>
      </w:r>
      <w:r w:rsidR="008F19CE" w:rsidRPr="0010176D">
        <w:rPr>
          <w:rFonts w:ascii="Times New Roman" w:hAnsi="Times New Roman" w:cs="Times New Roman"/>
        </w:rPr>
        <w:t>A</w:t>
      </w:r>
      <w:r w:rsidR="008F19CE" w:rsidRPr="000D45C0">
        <w:rPr>
          <w:rFonts w:ascii="Times New Roman" w:hAnsi="Times New Roman" w:cs="Times New Roman"/>
        </w:rPr>
        <w:t xml:space="preserve">s part of this research, the author </w:t>
      </w:r>
      <w:r w:rsidR="00C01201" w:rsidRPr="000D45C0">
        <w:rPr>
          <w:rFonts w:ascii="Times New Roman" w:hAnsi="Times New Roman" w:cs="Times New Roman"/>
        </w:rPr>
        <w:t>interview</w:t>
      </w:r>
      <w:r w:rsidR="008F19CE" w:rsidRPr="000D45C0">
        <w:rPr>
          <w:rFonts w:ascii="Times New Roman" w:hAnsi="Times New Roman" w:cs="Times New Roman"/>
        </w:rPr>
        <w:t xml:space="preserve">ed </w:t>
      </w:r>
      <w:r w:rsidR="00C01201" w:rsidRPr="000D45C0">
        <w:rPr>
          <w:rFonts w:ascii="Times New Roman" w:hAnsi="Times New Roman" w:cs="Times New Roman"/>
        </w:rPr>
        <w:t xml:space="preserve">members of the </w:t>
      </w:r>
      <w:r w:rsidR="005800AA" w:rsidRPr="000D45C0">
        <w:rPr>
          <w:rFonts w:ascii="Times New Roman" w:hAnsi="Times New Roman" w:cs="Times New Roman"/>
        </w:rPr>
        <w:t xml:space="preserve">Federal Aviation Administration </w:t>
      </w:r>
      <w:r w:rsidR="005800AA" w:rsidRPr="000D45C0">
        <w:rPr>
          <w:rFonts w:ascii="Times New Roman" w:hAnsi="Times New Roman" w:cs="Times New Roman"/>
          <w:bCs/>
        </w:rPr>
        <w:t xml:space="preserve">Office of Commercial Space Transportation, </w:t>
      </w:r>
      <w:r w:rsidR="00C01201" w:rsidRPr="000D45C0">
        <w:rPr>
          <w:rFonts w:ascii="Times New Roman" w:hAnsi="Times New Roman" w:cs="Times New Roman"/>
        </w:rPr>
        <w:t>the U.S. Space Force, and industry that were involved in the transition, both for providing leadership lessons and substantive material for the transition.</w:t>
      </w:r>
      <w:r w:rsidR="00FE3073">
        <w:rPr>
          <w:rStyle w:val="FootnoteReference"/>
          <w:rFonts w:ascii="Times New Roman" w:hAnsi="Times New Roman" w:cs="Times New Roman"/>
        </w:rPr>
        <w:footnoteReference w:id="2"/>
      </w:r>
      <w:r w:rsidR="00C01201" w:rsidRPr="000D45C0">
        <w:rPr>
          <w:rFonts w:ascii="Times New Roman" w:hAnsi="Times New Roman" w:cs="Times New Roman"/>
        </w:rPr>
        <w:t xml:space="preserve"> </w:t>
      </w:r>
      <w:r w:rsidR="00523501" w:rsidRPr="000D45C0">
        <w:rPr>
          <w:rFonts w:ascii="Times New Roman" w:hAnsi="Times New Roman" w:cs="Times New Roman"/>
        </w:rPr>
        <w:t xml:space="preserve">Lastly, the paper </w:t>
      </w:r>
      <w:r w:rsidR="00C01201" w:rsidRPr="000D45C0">
        <w:rPr>
          <w:rFonts w:ascii="Times New Roman" w:hAnsi="Times New Roman" w:cs="Times New Roman"/>
        </w:rPr>
        <w:t>conclude</w:t>
      </w:r>
      <w:r w:rsidR="00523501" w:rsidRPr="000D45C0">
        <w:rPr>
          <w:rFonts w:ascii="Times New Roman" w:hAnsi="Times New Roman" w:cs="Times New Roman"/>
        </w:rPr>
        <w:t>s</w:t>
      </w:r>
      <w:r w:rsidR="00C01201" w:rsidRPr="000D45C0">
        <w:rPr>
          <w:rFonts w:ascii="Times New Roman" w:hAnsi="Times New Roman" w:cs="Times New Roman"/>
        </w:rPr>
        <w:t xml:space="preserve"> with policy recommendations</w:t>
      </w:r>
      <w:r w:rsidR="00523501" w:rsidRPr="000D45C0">
        <w:rPr>
          <w:rFonts w:ascii="Times New Roman" w:hAnsi="Times New Roman" w:cs="Times New Roman"/>
        </w:rPr>
        <w:t xml:space="preserve">. </w:t>
      </w:r>
      <w:r w:rsidR="00C01201" w:rsidRPr="000D45C0">
        <w:rPr>
          <w:rFonts w:ascii="Times New Roman" w:hAnsi="Times New Roman" w:cs="Times New Roman"/>
        </w:rPr>
        <w:t xml:space="preserve"> </w:t>
      </w:r>
    </w:p>
    <w:p w14:paraId="6F110755" w14:textId="77777777" w:rsidR="00D44FD4" w:rsidRPr="007931E5" w:rsidRDefault="00D44FD4" w:rsidP="00045A7D">
      <w:pPr>
        <w:pStyle w:val="Heading1"/>
        <w:spacing w:after="360"/>
        <w:rPr>
          <w:rFonts w:ascii="Times New Roman" w:hAnsi="Times New Roman" w:cs="Times New Roman"/>
          <w:b/>
          <w:bCs/>
          <w:color w:val="auto"/>
          <w:sz w:val="32"/>
          <w:szCs w:val="32"/>
        </w:rPr>
      </w:pPr>
      <w:bookmarkStart w:id="6" w:name="_Toc227163553"/>
      <w:r w:rsidRPr="007931E5">
        <w:rPr>
          <w:rFonts w:ascii="Times New Roman" w:hAnsi="Times New Roman" w:cs="Times New Roman"/>
          <w:b/>
          <w:bCs/>
          <w:color w:val="auto"/>
          <w:sz w:val="32"/>
          <w:szCs w:val="32"/>
        </w:rPr>
        <w:t>Research Questions</w:t>
      </w:r>
      <w:bookmarkEnd w:id="6"/>
    </w:p>
    <w:p w14:paraId="23D2CC1C" w14:textId="40C6E9F4" w:rsidR="00115BAC" w:rsidRPr="0010176D" w:rsidRDefault="00115BAC" w:rsidP="00045A7D">
      <w:pPr>
        <w:spacing w:after="0" w:line="480" w:lineRule="auto"/>
        <w:ind w:firstLine="720"/>
        <w:rPr>
          <w:rFonts w:ascii="Times New Roman" w:hAnsi="Times New Roman" w:cs="Times New Roman"/>
        </w:rPr>
      </w:pPr>
      <w:r w:rsidRPr="000D45C0">
        <w:rPr>
          <w:rFonts w:ascii="Times New Roman" w:hAnsi="Times New Roman" w:cs="Times New Roman"/>
        </w:rPr>
        <w:t xml:space="preserve">The rapid increase in U.S. space launch demand created a fundamental tension between legacy government launch </w:t>
      </w:r>
      <w:r w:rsidR="007A236A" w:rsidRPr="000D45C0">
        <w:rPr>
          <w:rFonts w:ascii="Times New Roman" w:hAnsi="Times New Roman" w:cs="Times New Roman"/>
        </w:rPr>
        <w:t>processes</w:t>
      </w:r>
      <w:r w:rsidRPr="000D45C0">
        <w:rPr>
          <w:rFonts w:ascii="Times New Roman" w:hAnsi="Times New Roman" w:cs="Times New Roman"/>
        </w:rPr>
        <w:t xml:space="preserve"> and the requirements of assured access to space in a high‑cadence, </w:t>
      </w:r>
      <w:r w:rsidR="007A236A" w:rsidRPr="000D45C0">
        <w:rPr>
          <w:rFonts w:ascii="Times New Roman" w:hAnsi="Times New Roman" w:cs="Times New Roman"/>
        </w:rPr>
        <w:t>commercially driven</w:t>
      </w:r>
      <w:r w:rsidRPr="000D45C0">
        <w:rPr>
          <w:rFonts w:ascii="Times New Roman" w:hAnsi="Times New Roman" w:cs="Times New Roman"/>
        </w:rPr>
        <w:t xml:space="preserve"> environment. </w:t>
      </w:r>
      <w:r w:rsidR="00DD2A9B" w:rsidRPr="000D45C0">
        <w:rPr>
          <w:rFonts w:ascii="Times New Roman" w:hAnsi="Times New Roman" w:cs="Times New Roman"/>
        </w:rPr>
        <w:t xml:space="preserve">Preserving assured access under these conditions </w:t>
      </w:r>
      <w:r w:rsidR="00ED3E6F" w:rsidRPr="000D45C0">
        <w:rPr>
          <w:rFonts w:ascii="Times New Roman" w:hAnsi="Times New Roman" w:cs="Times New Roman"/>
        </w:rPr>
        <w:t>required d</w:t>
      </w:r>
      <w:r w:rsidR="00DD2A9B" w:rsidRPr="000D45C0">
        <w:rPr>
          <w:rFonts w:ascii="Times New Roman" w:hAnsi="Times New Roman" w:cs="Times New Roman"/>
        </w:rPr>
        <w:t>eliberate changes in polic</w:t>
      </w:r>
      <w:r w:rsidR="00DD2A9B" w:rsidRPr="0010176D">
        <w:rPr>
          <w:rFonts w:ascii="Times New Roman" w:hAnsi="Times New Roman" w:cs="Times New Roman"/>
        </w:rPr>
        <w:t>y, regulation, organizational structure, and leadership practice.</w:t>
      </w:r>
      <w:r w:rsidR="00ED3E6F" w:rsidRPr="0010176D">
        <w:rPr>
          <w:rFonts w:ascii="Times New Roman" w:hAnsi="Times New Roman" w:cs="Times New Roman"/>
        </w:rPr>
        <w:t xml:space="preserve"> </w:t>
      </w:r>
      <w:r w:rsidR="009666D0" w:rsidRPr="0010176D">
        <w:rPr>
          <w:rFonts w:ascii="Times New Roman" w:hAnsi="Times New Roman" w:cs="Times New Roman"/>
        </w:rPr>
        <w:t>Understanding how the U.S. government—and particularly the U.S. Space Force—navigated this transition requires examining both the enabling frameworks and the mechanisms by which change was implemented and sustained.</w:t>
      </w:r>
      <w:r w:rsidR="00CF79D1" w:rsidRPr="0010176D">
        <w:rPr>
          <w:rFonts w:ascii="Times New Roman" w:hAnsi="Times New Roman" w:cs="Times New Roman"/>
        </w:rPr>
        <w:t xml:space="preserve"> </w:t>
      </w:r>
      <w:r w:rsidRPr="0010176D">
        <w:rPr>
          <w:rFonts w:ascii="Times New Roman" w:hAnsi="Times New Roman" w:cs="Times New Roman"/>
        </w:rPr>
        <w:t>Accordingly, this paper is guided by the following research questions:</w:t>
      </w:r>
    </w:p>
    <w:p w14:paraId="04EB21A6" w14:textId="3E009C9A" w:rsidR="000D6860" w:rsidRPr="0010176D" w:rsidRDefault="00D44FD4" w:rsidP="00045A7D">
      <w:pPr>
        <w:pStyle w:val="ListParagraph"/>
        <w:numPr>
          <w:ilvl w:val="0"/>
          <w:numId w:val="38"/>
        </w:numPr>
        <w:spacing w:after="0" w:line="480" w:lineRule="auto"/>
        <w:rPr>
          <w:rFonts w:ascii="Times New Roman" w:hAnsi="Times New Roman" w:cs="Times New Roman"/>
        </w:rPr>
      </w:pPr>
      <w:r w:rsidRPr="0010176D">
        <w:rPr>
          <w:rFonts w:ascii="Times New Roman" w:hAnsi="Times New Roman" w:cs="Times New Roman"/>
        </w:rPr>
        <w:t>In what ways did the</w:t>
      </w:r>
      <w:r w:rsidR="00CF79D1" w:rsidRPr="0010176D">
        <w:rPr>
          <w:rFonts w:ascii="Times New Roman" w:hAnsi="Times New Roman" w:cs="Times New Roman"/>
        </w:rPr>
        <w:t xml:space="preserve"> transition </w:t>
      </w:r>
      <w:r w:rsidR="00BD1813" w:rsidRPr="0010176D">
        <w:rPr>
          <w:rFonts w:ascii="Times New Roman" w:hAnsi="Times New Roman" w:cs="Times New Roman"/>
        </w:rPr>
        <w:t xml:space="preserve">from a government-operated launch enterprise to a </w:t>
      </w:r>
      <w:r w:rsidRPr="0010176D">
        <w:rPr>
          <w:rFonts w:ascii="Times New Roman" w:hAnsi="Times New Roman" w:cs="Times New Roman"/>
        </w:rPr>
        <w:t>facilitator and space</w:t>
      </w:r>
      <w:r w:rsidR="0062217E" w:rsidRPr="0010176D">
        <w:rPr>
          <w:rFonts w:ascii="Times New Roman" w:hAnsi="Times New Roman" w:cs="Times New Roman"/>
        </w:rPr>
        <w:t>port</w:t>
      </w:r>
      <w:r w:rsidRPr="0010176D">
        <w:rPr>
          <w:rFonts w:ascii="Times New Roman" w:hAnsi="Times New Roman" w:cs="Times New Roman"/>
        </w:rPr>
        <w:t xml:space="preserve"> manager role enable</w:t>
      </w:r>
      <w:r w:rsidR="00523501" w:rsidRPr="0010176D">
        <w:rPr>
          <w:rFonts w:ascii="Times New Roman" w:hAnsi="Times New Roman" w:cs="Times New Roman"/>
        </w:rPr>
        <w:t xml:space="preserve">, </w:t>
      </w:r>
      <w:r w:rsidRPr="0010176D">
        <w:rPr>
          <w:rFonts w:ascii="Times New Roman" w:hAnsi="Times New Roman" w:cs="Times New Roman"/>
        </w:rPr>
        <w:t>enhance</w:t>
      </w:r>
      <w:r w:rsidR="00523501" w:rsidRPr="0010176D">
        <w:rPr>
          <w:rFonts w:ascii="Times New Roman" w:hAnsi="Times New Roman" w:cs="Times New Roman"/>
        </w:rPr>
        <w:t>, or hinder</w:t>
      </w:r>
      <w:r w:rsidRPr="0010176D">
        <w:rPr>
          <w:rFonts w:ascii="Times New Roman" w:hAnsi="Times New Roman" w:cs="Times New Roman"/>
        </w:rPr>
        <w:t xml:space="preserve"> </w:t>
      </w:r>
      <w:r w:rsidR="0062217E" w:rsidRPr="0010176D">
        <w:rPr>
          <w:rFonts w:ascii="Times New Roman" w:hAnsi="Times New Roman" w:cs="Times New Roman"/>
        </w:rPr>
        <w:t>assured access to space</w:t>
      </w:r>
      <w:r w:rsidRPr="0010176D">
        <w:rPr>
          <w:rFonts w:ascii="Times New Roman" w:hAnsi="Times New Roman" w:cs="Times New Roman"/>
        </w:rPr>
        <w:t xml:space="preserve">? </w:t>
      </w:r>
    </w:p>
    <w:p w14:paraId="2CC0056B" w14:textId="1C3091D1" w:rsidR="00210AF6" w:rsidRPr="0010176D" w:rsidRDefault="008D6C6A" w:rsidP="00045A7D">
      <w:pPr>
        <w:pStyle w:val="ListParagraph"/>
        <w:numPr>
          <w:ilvl w:val="0"/>
          <w:numId w:val="38"/>
        </w:numPr>
        <w:spacing w:after="0" w:line="480" w:lineRule="auto"/>
        <w:rPr>
          <w:rFonts w:ascii="Times New Roman" w:hAnsi="Times New Roman" w:cs="Times New Roman"/>
        </w:rPr>
      </w:pPr>
      <w:r w:rsidRPr="0010176D">
        <w:rPr>
          <w:rFonts w:ascii="Times New Roman" w:hAnsi="Times New Roman" w:cs="Times New Roman"/>
        </w:rPr>
        <w:t>What policy and regulatory changes were most consequential in enabling sustained, high‑cadence space launch operations while maintaining public safety and national security requirements?</w:t>
      </w:r>
      <w:r w:rsidR="00210AF6" w:rsidRPr="0010176D">
        <w:rPr>
          <w:rFonts w:ascii="Times New Roman" w:hAnsi="Times New Roman" w:cs="Times New Roman"/>
        </w:rPr>
        <w:t xml:space="preserve">  </w:t>
      </w:r>
    </w:p>
    <w:p w14:paraId="426396D3" w14:textId="5C4EA18A" w:rsidR="000D6860" w:rsidRPr="0010176D" w:rsidRDefault="00D44FD4" w:rsidP="00045A7D">
      <w:pPr>
        <w:pStyle w:val="ListParagraph"/>
        <w:numPr>
          <w:ilvl w:val="0"/>
          <w:numId w:val="38"/>
        </w:numPr>
        <w:spacing w:after="0" w:line="480" w:lineRule="auto"/>
        <w:rPr>
          <w:rFonts w:ascii="Times New Roman" w:hAnsi="Times New Roman" w:cs="Times New Roman"/>
        </w:rPr>
      </w:pPr>
      <w:r w:rsidRPr="0010176D">
        <w:rPr>
          <w:rFonts w:ascii="Times New Roman" w:hAnsi="Times New Roman" w:cs="Times New Roman"/>
        </w:rPr>
        <w:lastRenderedPageBreak/>
        <w:t>How did U.S.</w:t>
      </w:r>
      <w:r w:rsidR="00210AF6" w:rsidRPr="0010176D">
        <w:rPr>
          <w:rFonts w:ascii="Times New Roman" w:hAnsi="Times New Roman" w:cs="Times New Roman"/>
        </w:rPr>
        <w:t xml:space="preserve"> Space Force </w:t>
      </w:r>
      <w:r w:rsidRPr="0010176D">
        <w:rPr>
          <w:rFonts w:ascii="Times New Roman" w:hAnsi="Times New Roman" w:cs="Times New Roman"/>
        </w:rPr>
        <w:t>overcome</w:t>
      </w:r>
      <w:r w:rsidR="001C73C3" w:rsidRPr="0010176D">
        <w:rPr>
          <w:rFonts w:ascii="Times New Roman" w:hAnsi="Times New Roman" w:cs="Times New Roman"/>
        </w:rPr>
        <w:t xml:space="preserve"> organization</w:t>
      </w:r>
      <w:r w:rsidR="000357BC" w:rsidRPr="0010176D">
        <w:rPr>
          <w:rFonts w:ascii="Times New Roman" w:hAnsi="Times New Roman" w:cs="Times New Roman"/>
        </w:rPr>
        <w:t>al</w:t>
      </w:r>
      <w:r w:rsidRPr="0010176D">
        <w:rPr>
          <w:rFonts w:ascii="Times New Roman" w:hAnsi="Times New Roman" w:cs="Times New Roman"/>
        </w:rPr>
        <w:t xml:space="preserve"> change </w:t>
      </w:r>
      <w:r w:rsidR="000357BC" w:rsidRPr="0010176D">
        <w:rPr>
          <w:rFonts w:ascii="Times New Roman" w:hAnsi="Times New Roman" w:cs="Times New Roman"/>
        </w:rPr>
        <w:t>resistance</w:t>
      </w:r>
      <w:r w:rsidRPr="0010176D">
        <w:rPr>
          <w:rFonts w:ascii="Times New Roman" w:hAnsi="Times New Roman" w:cs="Times New Roman"/>
        </w:rPr>
        <w:t xml:space="preserve">; what leadership strategies were present that enabled this government turnaround? </w:t>
      </w:r>
    </w:p>
    <w:p w14:paraId="5E93C74F" w14:textId="635DF93F" w:rsidR="00D70131" w:rsidRPr="007931E5" w:rsidRDefault="009D129E" w:rsidP="00045A7D">
      <w:pPr>
        <w:pStyle w:val="Heading1"/>
        <w:spacing w:after="360"/>
        <w:rPr>
          <w:rFonts w:ascii="Times New Roman" w:hAnsi="Times New Roman" w:cs="Times New Roman"/>
          <w:b/>
          <w:bCs/>
          <w:color w:val="auto"/>
          <w:sz w:val="32"/>
          <w:szCs w:val="32"/>
        </w:rPr>
      </w:pPr>
      <w:bookmarkStart w:id="7" w:name="_Toc227163554"/>
      <w:r w:rsidRPr="007931E5">
        <w:rPr>
          <w:rFonts w:ascii="Times New Roman" w:hAnsi="Times New Roman" w:cs="Times New Roman"/>
          <w:b/>
          <w:bCs/>
          <w:color w:val="auto"/>
          <w:sz w:val="32"/>
          <w:szCs w:val="32"/>
        </w:rPr>
        <w:t>Background</w:t>
      </w:r>
      <w:bookmarkEnd w:id="7"/>
    </w:p>
    <w:p w14:paraId="7EFBC65F" w14:textId="75732BBF" w:rsidR="00E11374" w:rsidRPr="0010176D" w:rsidRDefault="00045A7D" w:rsidP="00045A7D">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E11374" w:rsidRPr="0010176D">
        <w:rPr>
          <w:rFonts w:ascii="Times New Roman" w:hAnsi="Times New Roman" w:cs="Times New Roman"/>
          <w:bCs/>
        </w:rPr>
        <w:t xml:space="preserve">The number of launches from the two major U.S. spaceports, located at Cape Canaveral Space Force Station in Florida and Vandenberg Space Force Base in California, surged from </w:t>
      </w:r>
      <w:r w:rsidR="00333BAC">
        <w:rPr>
          <w:rFonts w:ascii="Times New Roman" w:hAnsi="Times New Roman" w:cs="Times New Roman"/>
          <w:bCs/>
        </w:rPr>
        <w:t>10</w:t>
      </w:r>
      <w:r w:rsidR="00E11374" w:rsidRPr="0010176D">
        <w:rPr>
          <w:rFonts w:ascii="Times New Roman" w:hAnsi="Times New Roman" w:cs="Times New Roman"/>
          <w:bCs/>
        </w:rPr>
        <w:t xml:space="preserve"> launches per year in the mid-2010s to over 100 launches per year in the mid-2020s.</w:t>
      </w:r>
    </w:p>
    <w:p w14:paraId="72D98B1E" w14:textId="77777777" w:rsidR="00EF6BBF" w:rsidRPr="0010176D" w:rsidRDefault="00EF6BBF" w:rsidP="00045A7D">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p>
    <w:p w14:paraId="071798BF" w14:textId="67089577" w:rsidR="00EF6BBF" w:rsidRPr="0010176D" w:rsidRDefault="00E85B9B" w:rsidP="002F32CA">
      <w:pPr>
        <w:pStyle w:val="ListParagraph"/>
        <w:widowControl w:val="0"/>
        <w:tabs>
          <w:tab w:val="left" w:pos="270"/>
        </w:tabs>
        <w:autoSpaceDE w:val="0"/>
        <w:autoSpaceDN w:val="0"/>
        <w:spacing w:after="0" w:line="259" w:lineRule="auto"/>
        <w:ind w:left="0"/>
        <w:contextualSpacing w:val="0"/>
        <w:rPr>
          <w:rFonts w:ascii="Times New Roman" w:hAnsi="Times New Roman" w:cs="Times New Roman"/>
          <w:bCs/>
        </w:rPr>
      </w:pPr>
      <w:r w:rsidRPr="0010176D">
        <w:rPr>
          <w:rFonts w:ascii="Times New Roman" w:hAnsi="Times New Roman" w:cs="Times New Roman"/>
          <w:noProof/>
        </w:rPr>
        <w:drawing>
          <wp:inline distT="0" distB="0" distL="0" distR="0" wp14:anchorId="4F5ADBD5" wp14:editId="3F86E1C0">
            <wp:extent cx="5956300" cy="3236432"/>
            <wp:effectExtent l="0" t="0" r="6350" b="2540"/>
            <wp:docPr id="69631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13236" name=""/>
                    <pic:cNvPicPr/>
                  </pic:nvPicPr>
                  <pic:blipFill rotWithShape="1">
                    <a:blip r:embed="rId9"/>
                    <a:srcRect l="30021" t="36456" r="9616" b="1018"/>
                    <a:stretch>
                      <a:fillRect/>
                    </a:stretch>
                  </pic:blipFill>
                  <pic:spPr bwMode="auto">
                    <a:xfrm>
                      <a:off x="0" y="0"/>
                      <a:ext cx="5964861" cy="3241084"/>
                    </a:xfrm>
                    <a:prstGeom prst="rect">
                      <a:avLst/>
                    </a:prstGeom>
                    <a:ln>
                      <a:noFill/>
                    </a:ln>
                    <a:extLst>
                      <a:ext uri="{53640926-AAD7-44D8-BBD7-CCE9431645EC}">
                        <a14:shadowObscured xmlns:a14="http://schemas.microsoft.com/office/drawing/2010/main"/>
                      </a:ext>
                    </a:extLst>
                  </pic:spPr>
                </pic:pic>
              </a:graphicData>
            </a:graphic>
          </wp:inline>
        </w:drawing>
      </w:r>
    </w:p>
    <w:p w14:paraId="7DC24CFC" w14:textId="6F47C933" w:rsidR="003865C4" w:rsidRPr="0010176D" w:rsidRDefault="00E85B9B" w:rsidP="00045A7D">
      <w:pPr>
        <w:pStyle w:val="ListParagraph"/>
        <w:widowControl w:val="0"/>
        <w:tabs>
          <w:tab w:val="left" w:pos="270"/>
        </w:tabs>
        <w:autoSpaceDE w:val="0"/>
        <w:autoSpaceDN w:val="0"/>
        <w:spacing w:after="0" w:line="259" w:lineRule="auto"/>
        <w:ind w:left="0"/>
        <w:contextualSpacing w:val="0"/>
        <w:rPr>
          <w:rFonts w:ascii="Times New Roman" w:hAnsi="Times New Roman" w:cs="Times New Roman"/>
          <w:bCs/>
        </w:rPr>
      </w:pPr>
      <w:r w:rsidRPr="0010176D">
        <w:rPr>
          <w:rFonts w:ascii="Times New Roman" w:hAnsi="Times New Roman" w:cs="Times New Roman"/>
          <w:bCs/>
        </w:rPr>
        <w:t>Figure 1: U.S. Space Launch Frequency 2000-2024</w:t>
      </w:r>
      <w:r w:rsidR="003865C4" w:rsidRPr="0010176D">
        <w:rPr>
          <w:rStyle w:val="FootnoteReference"/>
          <w:rFonts w:ascii="Times New Roman" w:hAnsi="Times New Roman" w:cs="Times New Roman"/>
          <w:bCs/>
        </w:rPr>
        <w:footnoteReference w:id="3"/>
      </w:r>
    </w:p>
    <w:p w14:paraId="52B7E668" w14:textId="77777777" w:rsidR="003865C4" w:rsidRPr="0010176D" w:rsidRDefault="003865C4" w:rsidP="002F32CA">
      <w:pPr>
        <w:pStyle w:val="ListParagraph"/>
        <w:widowControl w:val="0"/>
        <w:tabs>
          <w:tab w:val="left" w:pos="270"/>
        </w:tabs>
        <w:autoSpaceDE w:val="0"/>
        <w:autoSpaceDN w:val="0"/>
        <w:spacing w:after="0" w:line="259" w:lineRule="auto"/>
        <w:ind w:left="0"/>
        <w:contextualSpacing w:val="0"/>
        <w:rPr>
          <w:rFonts w:ascii="Times New Roman" w:hAnsi="Times New Roman" w:cs="Times New Roman"/>
          <w:bCs/>
        </w:rPr>
      </w:pPr>
    </w:p>
    <w:p w14:paraId="7D204502" w14:textId="0FCC8A9D" w:rsidR="003865C4" w:rsidRPr="0010176D" w:rsidRDefault="003865C4" w:rsidP="00045A7D">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t xml:space="preserve">Furthermoe, the number of space launches is expected to continue rising as demand for more satellites rises. </w:t>
      </w:r>
    </w:p>
    <w:p w14:paraId="02BABEC2" w14:textId="77777777" w:rsidR="003865C4" w:rsidRPr="0010176D" w:rsidRDefault="003865C4" w:rsidP="00045A7D">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p>
    <w:p w14:paraId="0DC53DEF" w14:textId="4702C64C" w:rsidR="003865C4" w:rsidRPr="0010176D" w:rsidRDefault="003865C4" w:rsidP="002F32CA">
      <w:pPr>
        <w:pStyle w:val="ListParagraph"/>
        <w:widowControl w:val="0"/>
        <w:tabs>
          <w:tab w:val="left" w:pos="270"/>
        </w:tabs>
        <w:autoSpaceDE w:val="0"/>
        <w:autoSpaceDN w:val="0"/>
        <w:spacing w:after="0" w:line="259" w:lineRule="auto"/>
        <w:ind w:left="0"/>
        <w:contextualSpacing w:val="0"/>
        <w:rPr>
          <w:rFonts w:ascii="Times New Roman" w:hAnsi="Times New Roman" w:cs="Times New Roman"/>
          <w:bCs/>
        </w:rPr>
      </w:pPr>
      <w:r w:rsidRPr="0010176D">
        <w:rPr>
          <w:rFonts w:ascii="Times New Roman" w:hAnsi="Times New Roman" w:cs="Times New Roman"/>
          <w:noProof/>
        </w:rPr>
        <w:lastRenderedPageBreak/>
        <w:drawing>
          <wp:inline distT="0" distB="0" distL="0" distR="0" wp14:anchorId="507E289A" wp14:editId="14BE46B2">
            <wp:extent cx="5822315" cy="2781130"/>
            <wp:effectExtent l="0" t="0" r="6985" b="635"/>
            <wp:docPr id="214109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9739" name=""/>
                    <pic:cNvPicPr/>
                  </pic:nvPicPr>
                  <pic:blipFill rotWithShape="1">
                    <a:blip r:embed="rId10"/>
                    <a:srcRect l="22863" t="37485" r="23825" b="14011"/>
                    <a:stretch>
                      <a:fillRect/>
                    </a:stretch>
                  </pic:blipFill>
                  <pic:spPr bwMode="auto">
                    <a:xfrm>
                      <a:off x="0" y="0"/>
                      <a:ext cx="5829954" cy="2784779"/>
                    </a:xfrm>
                    <a:prstGeom prst="rect">
                      <a:avLst/>
                    </a:prstGeom>
                    <a:ln>
                      <a:noFill/>
                    </a:ln>
                    <a:extLst>
                      <a:ext uri="{53640926-AAD7-44D8-BBD7-CCE9431645EC}">
                        <a14:shadowObscured xmlns:a14="http://schemas.microsoft.com/office/drawing/2010/main"/>
                      </a:ext>
                    </a:extLst>
                  </pic:spPr>
                </pic:pic>
              </a:graphicData>
            </a:graphic>
          </wp:inline>
        </w:drawing>
      </w:r>
    </w:p>
    <w:p w14:paraId="0E85DE9F" w14:textId="6B5BF565" w:rsidR="003865C4" w:rsidRPr="0010176D" w:rsidRDefault="003865C4" w:rsidP="002F32CA">
      <w:pPr>
        <w:pStyle w:val="ListParagraph"/>
        <w:widowControl w:val="0"/>
        <w:tabs>
          <w:tab w:val="left" w:pos="270"/>
        </w:tabs>
        <w:autoSpaceDE w:val="0"/>
        <w:autoSpaceDN w:val="0"/>
        <w:spacing w:after="0" w:line="259" w:lineRule="auto"/>
        <w:ind w:left="0"/>
        <w:contextualSpacing w:val="0"/>
        <w:rPr>
          <w:rFonts w:ascii="Times New Roman" w:hAnsi="Times New Roman" w:cs="Times New Roman"/>
          <w:bCs/>
        </w:rPr>
      </w:pPr>
      <w:r w:rsidRPr="0010176D">
        <w:rPr>
          <w:rFonts w:ascii="Times New Roman" w:hAnsi="Times New Roman" w:cs="Times New Roman"/>
          <w:bCs/>
        </w:rPr>
        <w:t>Figure 2: FAA’s 2023 Forecast of Commercial Space Launch Operations (2015-2028)</w:t>
      </w:r>
      <w:r w:rsidRPr="0010176D">
        <w:rPr>
          <w:rStyle w:val="FootnoteReference"/>
          <w:rFonts w:ascii="Times New Roman" w:hAnsi="Times New Roman" w:cs="Times New Roman"/>
          <w:bCs/>
        </w:rPr>
        <w:footnoteReference w:id="4"/>
      </w:r>
    </w:p>
    <w:p w14:paraId="1C951300" w14:textId="272C29F2" w:rsidR="003865C4" w:rsidRPr="0010176D" w:rsidRDefault="003865C4" w:rsidP="00BE5DBD">
      <w:pPr>
        <w:pStyle w:val="ListParagraph"/>
        <w:widowControl w:val="0"/>
        <w:tabs>
          <w:tab w:val="left" w:pos="270"/>
        </w:tabs>
        <w:autoSpaceDE w:val="0"/>
        <w:autoSpaceDN w:val="0"/>
        <w:spacing w:after="0" w:line="259" w:lineRule="auto"/>
        <w:ind w:left="0"/>
        <w:contextualSpacing w:val="0"/>
        <w:rPr>
          <w:rFonts w:ascii="Times New Roman" w:hAnsi="Times New Roman" w:cs="Times New Roman"/>
          <w:bCs/>
          <w:sz w:val="20"/>
          <w:szCs w:val="20"/>
        </w:rPr>
      </w:pPr>
      <w:r w:rsidRPr="0010176D">
        <w:rPr>
          <w:rFonts w:ascii="Times New Roman" w:hAnsi="Times New Roman" w:cs="Times New Roman"/>
          <w:bCs/>
          <w:sz w:val="20"/>
          <w:szCs w:val="20"/>
        </w:rPr>
        <w:t xml:space="preserve">Notes: Figure 2 data </w:t>
      </w:r>
      <w:proofErr w:type="gramStart"/>
      <w:r w:rsidRPr="0010176D">
        <w:rPr>
          <w:rFonts w:ascii="Times New Roman" w:hAnsi="Times New Roman" w:cs="Times New Roman"/>
          <w:bCs/>
          <w:sz w:val="20"/>
          <w:szCs w:val="20"/>
        </w:rPr>
        <w:t>represents</w:t>
      </w:r>
      <w:proofErr w:type="gramEnd"/>
      <w:r w:rsidRPr="0010176D">
        <w:rPr>
          <w:rFonts w:ascii="Times New Roman" w:hAnsi="Times New Roman" w:cs="Times New Roman"/>
          <w:bCs/>
          <w:sz w:val="20"/>
          <w:szCs w:val="20"/>
        </w:rPr>
        <w:t xml:space="preserve"> FAA licenses for launch and reentries </w:t>
      </w:r>
      <w:proofErr w:type="gramStart"/>
      <w:r w:rsidRPr="0010176D">
        <w:rPr>
          <w:rFonts w:ascii="Times New Roman" w:hAnsi="Times New Roman" w:cs="Times New Roman"/>
          <w:bCs/>
          <w:sz w:val="20"/>
          <w:szCs w:val="20"/>
        </w:rPr>
        <w:t>only, and</w:t>
      </w:r>
      <w:proofErr w:type="gramEnd"/>
      <w:r w:rsidRPr="0010176D">
        <w:rPr>
          <w:rFonts w:ascii="Times New Roman" w:hAnsi="Times New Roman" w:cs="Times New Roman"/>
          <w:bCs/>
          <w:sz w:val="20"/>
          <w:szCs w:val="20"/>
        </w:rPr>
        <w:t xml:space="preserve"> does not include launches not authorized by the FAA, which includes U.S. government activity or launches carried out by another countries. </w:t>
      </w:r>
    </w:p>
    <w:p w14:paraId="1B08F45B" w14:textId="77777777" w:rsidR="003865C4" w:rsidRPr="0010176D" w:rsidRDefault="003865C4" w:rsidP="002F32CA">
      <w:pPr>
        <w:pStyle w:val="ListParagraph"/>
        <w:widowControl w:val="0"/>
        <w:tabs>
          <w:tab w:val="left" w:pos="270"/>
        </w:tabs>
        <w:autoSpaceDE w:val="0"/>
        <w:autoSpaceDN w:val="0"/>
        <w:spacing w:after="0" w:line="259" w:lineRule="auto"/>
        <w:ind w:left="0"/>
        <w:contextualSpacing w:val="0"/>
        <w:rPr>
          <w:rFonts w:ascii="Times New Roman" w:hAnsi="Times New Roman" w:cs="Times New Roman"/>
          <w:bCs/>
        </w:rPr>
      </w:pPr>
    </w:p>
    <w:p w14:paraId="79CD5E95" w14:textId="48C6D224" w:rsidR="003865C4" w:rsidRPr="0010176D" w:rsidRDefault="00CE429E" w:rsidP="00CE429E">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F67B66" w:rsidRPr="0010176D">
        <w:rPr>
          <w:rFonts w:ascii="Times New Roman" w:hAnsi="Times New Roman" w:cs="Times New Roman"/>
          <w:bCs/>
        </w:rPr>
        <w:t xml:space="preserve">While </w:t>
      </w:r>
      <w:r w:rsidR="00277C63" w:rsidRPr="0010176D">
        <w:rPr>
          <w:rFonts w:ascii="Times New Roman" w:hAnsi="Times New Roman" w:cs="Times New Roman"/>
          <w:bCs/>
        </w:rPr>
        <w:t>civil and military satellit</w:t>
      </w:r>
      <w:r w:rsidR="000D1B90" w:rsidRPr="0010176D">
        <w:rPr>
          <w:rFonts w:ascii="Times New Roman" w:hAnsi="Times New Roman" w:cs="Times New Roman"/>
          <w:bCs/>
        </w:rPr>
        <w:t xml:space="preserve">e capabilities </w:t>
      </w:r>
      <w:r w:rsidR="00277C63" w:rsidRPr="0010176D">
        <w:rPr>
          <w:rFonts w:ascii="Times New Roman" w:hAnsi="Times New Roman" w:cs="Times New Roman"/>
          <w:bCs/>
        </w:rPr>
        <w:t xml:space="preserve">remain a consistent </w:t>
      </w:r>
      <w:r w:rsidR="000D1B90" w:rsidRPr="0010176D">
        <w:rPr>
          <w:rFonts w:ascii="Times New Roman" w:hAnsi="Times New Roman" w:cs="Times New Roman"/>
          <w:bCs/>
        </w:rPr>
        <w:t xml:space="preserve">and stable </w:t>
      </w:r>
      <w:r w:rsidR="00277C63" w:rsidRPr="0010176D">
        <w:rPr>
          <w:rFonts w:ascii="Times New Roman" w:hAnsi="Times New Roman" w:cs="Times New Roman"/>
          <w:bCs/>
        </w:rPr>
        <w:t xml:space="preserve">source </w:t>
      </w:r>
      <w:r w:rsidR="000D1B90" w:rsidRPr="0010176D">
        <w:rPr>
          <w:rFonts w:ascii="Times New Roman" w:hAnsi="Times New Roman" w:cs="Times New Roman"/>
          <w:bCs/>
        </w:rPr>
        <w:t xml:space="preserve">of demand for the </w:t>
      </w:r>
      <w:r w:rsidR="00EF496F" w:rsidRPr="0010176D">
        <w:rPr>
          <w:rFonts w:ascii="Times New Roman" w:hAnsi="Times New Roman" w:cs="Times New Roman"/>
          <w:bCs/>
        </w:rPr>
        <w:t xml:space="preserve">space launch </w:t>
      </w:r>
      <w:r w:rsidR="000D1B90" w:rsidRPr="0010176D">
        <w:rPr>
          <w:rFonts w:ascii="Times New Roman" w:hAnsi="Times New Roman" w:cs="Times New Roman"/>
          <w:bCs/>
        </w:rPr>
        <w:t>industry</w:t>
      </w:r>
      <w:r w:rsidR="00EF496F" w:rsidRPr="0010176D">
        <w:rPr>
          <w:rFonts w:ascii="Times New Roman" w:hAnsi="Times New Roman" w:cs="Times New Roman"/>
          <w:bCs/>
        </w:rPr>
        <w:t>, t</w:t>
      </w:r>
      <w:r w:rsidR="003865C4" w:rsidRPr="0010176D">
        <w:rPr>
          <w:rFonts w:ascii="Times New Roman" w:hAnsi="Times New Roman" w:cs="Times New Roman"/>
          <w:bCs/>
        </w:rPr>
        <w:t>he</w:t>
      </w:r>
      <w:r w:rsidR="00EF496F" w:rsidRPr="0010176D">
        <w:rPr>
          <w:rFonts w:ascii="Times New Roman" w:hAnsi="Times New Roman" w:cs="Times New Roman"/>
          <w:bCs/>
        </w:rPr>
        <w:t xml:space="preserve"> primary reason for an</w:t>
      </w:r>
      <w:r w:rsidR="003865C4" w:rsidRPr="0010176D">
        <w:rPr>
          <w:rFonts w:ascii="Times New Roman" w:hAnsi="Times New Roman" w:cs="Times New Roman"/>
          <w:bCs/>
        </w:rPr>
        <w:t xml:space="preserve"> increase in demand </w:t>
      </w:r>
      <w:r w:rsidR="00811094" w:rsidRPr="0010176D">
        <w:rPr>
          <w:rFonts w:ascii="Times New Roman" w:hAnsi="Times New Roman" w:cs="Times New Roman"/>
          <w:bCs/>
        </w:rPr>
        <w:t xml:space="preserve">is </w:t>
      </w:r>
      <w:r w:rsidR="00EF496F" w:rsidRPr="0010176D">
        <w:rPr>
          <w:rFonts w:ascii="Times New Roman" w:hAnsi="Times New Roman" w:cs="Times New Roman"/>
          <w:bCs/>
        </w:rPr>
        <w:t xml:space="preserve">the </w:t>
      </w:r>
      <w:r w:rsidR="00B44084" w:rsidRPr="0010176D">
        <w:rPr>
          <w:rFonts w:ascii="Times New Roman" w:hAnsi="Times New Roman" w:cs="Times New Roman"/>
          <w:bCs/>
        </w:rPr>
        <w:t>deployment of low earth orbit (LEO) satellite constellations</w:t>
      </w:r>
      <w:r w:rsidR="00EF496F" w:rsidRPr="0010176D">
        <w:rPr>
          <w:rFonts w:ascii="Times New Roman" w:hAnsi="Times New Roman" w:cs="Times New Roman"/>
          <w:bCs/>
        </w:rPr>
        <w:t xml:space="preserve">. </w:t>
      </w:r>
      <w:r w:rsidR="00E55409" w:rsidRPr="0010176D">
        <w:rPr>
          <w:rFonts w:ascii="Times New Roman" w:hAnsi="Times New Roman" w:cs="Times New Roman"/>
          <w:bCs/>
        </w:rPr>
        <w:t>SpaceX’s Starlink, Amazon’s Project Kuiper, and Eutelsat’s OneWeb are examples of</w:t>
      </w:r>
      <w:r w:rsidR="00AE037D" w:rsidRPr="0010176D">
        <w:rPr>
          <w:rFonts w:ascii="Times New Roman" w:hAnsi="Times New Roman" w:cs="Times New Roman"/>
          <w:bCs/>
        </w:rPr>
        <w:t xml:space="preserve"> this growing proliferation of satellites in low earth orbi</w:t>
      </w:r>
      <w:r w:rsidR="00B56BCA" w:rsidRPr="0010176D">
        <w:rPr>
          <w:rFonts w:ascii="Times New Roman" w:hAnsi="Times New Roman" w:cs="Times New Roman"/>
          <w:bCs/>
        </w:rPr>
        <w:t>t.</w:t>
      </w:r>
      <w:r w:rsidR="00D110BB" w:rsidRPr="0010176D">
        <w:rPr>
          <w:rFonts w:ascii="Times New Roman" w:hAnsi="Times New Roman" w:cs="Times New Roman"/>
          <w:bCs/>
        </w:rPr>
        <w:t xml:space="preserve"> </w:t>
      </w:r>
      <w:r w:rsidR="00B56BCA" w:rsidRPr="0010176D">
        <w:rPr>
          <w:rFonts w:ascii="Times New Roman" w:hAnsi="Times New Roman" w:cs="Times New Roman"/>
          <w:bCs/>
        </w:rPr>
        <w:t xml:space="preserve"> </w:t>
      </w:r>
      <w:r w:rsidR="004705DA" w:rsidRPr="0010176D">
        <w:rPr>
          <w:rFonts w:ascii="Times New Roman" w:hAnsi="Times New Roman" w:cs="Times New Roman"/>
          <w:bCs/>
        </w:rPr>
        <w:t>The Starlink program alone plans to launch as many as 42,000 satellites to provide global broadband and other services.</w:t>
      </w:r>
      <w:r w:rsidR="004705DA" w:rsidRPr="0010176D">
        <w:rPr>
          <w:rStyle w:val="FootnoteReference"/>
          <w:rFonts w:ascii="Times New Roman" w:hAnsi="Times New Roman" w:cs="Times New Roman"/>
          <w:bCs/>
        </w:rPr>
        <w:footnoteReference w:id="5"/>
      </w:r>
      <w:r w:rsidR="004705DA" w:rsidRPr="0010176D">
        <w:rPr>
          <w:rFonts w:ascii="Times New Roman" w:hAnsi="Times New Roman" w:cs="Times New Roman"/>
          <w:bCs/>
        </w:rPr>
        <w:t xml:space="preserve"> </w:t>
      </w:r>
      <w:r w:rsidR="009B37CF" w:rsidRPr="0010176D">
        <w:rPr>
          <w:rFonts w:ascii="Times New Roman" w:hAnsi="Times New Roman" w:cs="Times New Roman"/>
          <w:bCs/>
        </w:rPr>
        <w:t xml:space="preserve">Other factors </w:t>
      </w:r>
      <w:r w:rsidR="00811094" w:rsidRPr="0010176D">
        <w:rPr>
          <w:rFonts w:ascii="Times New Roman" w:hAnsi="Times New Roman" w:cs="Times New Roman"/>
          <w:bCs/>
        </w:rPr>
        <w:t>contributing to the increase in rate i</w:t>
      </w:r>
      <w:r w:rsidR="009B37CF" w:rsidRPr="0010176D">
        <w:rPr>
          <w:rFonts w:ascii="Times New Roman" w:hAnsi="Times New Roman" w:cs="Times New Roman"/>
          <w:bCs/>
        </w:rPr>
        <w:t>nclude declining launch costs, government and commercial investment</w:t>
      </w:r>
      <w:r w:rsidR="009A315B" w:rsidRPr="0010176D">
        <w:rPr>
          <w:rFonts w:ascii="Times New Roman" w:hAnsi="Times New Roman" w:cs="Times New Roman"/>
          <w:bCs/>
        </w:rPr>
        <w:t>, and technological advancements</w:t>
      </w:r>
      <w:r w:rsidR="00FE2278" w:rsidRPr="0010176D">
        <w:rPr>
          <w:rFonts w:ascii="Times New Roman" w:hAnsi="Times New Roman" w:cs="Times New Roman"/>
          <w:bCs/>
        </w:rPr>
        <w:t>.</w:t>
      </w:r>
      <w:r w:rsidR="009A315B" w:rsidRPr="0010176D">
        <w:rPr>
          <w:rStyle w:val="FootnoteReference"/>
          <w:rFonts w:ascii="Times New Roman" w:hAnsi="Times New Roman" w:cs="Times New Roman"/>
          <w:bCs/>
        </w:rPr>
        <w:footnoteReference w:id="6"/>
      </w:r>
    </w:p>
    <w:p w14:paraId="08E6229A" w14:textId="77777777" w:rsidR="00CE429E" w:rsidRDefault="00CE429E" w:rsidP="00CE429E">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FE2278" w:rsidRPr="0010176D">
        <w:rPr>
          <w:rFonts w:ascii="Times New Roman" w:hAnsi="Times New Roman" w:cs="Times New Roman"/>
          <w:bCs/>
        </w:rPr>
        <w:t xml:space="preserve">Another trend is that the space </w:t>
      </w:r>
      <w:r w:rsidR="001A67EB" w:rsidRPr="0010176D">
        <w:rPr>
          <w:rFonts w:ascii="Times New Roman" w:hAnsi="Times New Roman" w:cs="Times New Roman"/>
          <w:bCs/>
        </w:rPr>
        <w:t xml:space="preserve">and space </w:t>
      </w:r>
      <w:r w:rsidR="00FE2278" w:rsidRPr="0010176D">
        <w:rPr>
          <w:rFonts w:ascii="Times New Roman" w:hAnsi="Times New Roman" w:cs="Times New Roman"/>
          <w:bCs/>
        </w:rPr>
        <w:t xml:space="preserve">launch market </w:t>
      </w:r>
      <w:r w:rsidR="001A67EB" w:rsidRPr="0010176D">
        <w:rPr>
          <w:rFonts w:ascii="Times New Roman" w:hAnsi="Times New Roman" w:cs="Times New Roman"/>
          <w:bCs/>
        </w:rPr>
        <w:t xml:space="preserve">is increasingly shifting toward commercialization. </w:t>
      </w:r>
      <w:r w:rsidR="00446EC5" w:rsidRPr="0010176D">
        <w:rPr>
          <w:rFonts w:ascii="Times New Roman" w:hAnsi="Times New Roman" w:cs="Times New Roman"/>
          <w:bCs/>
        </w:rPr>
        <w:t>Again, low earth orbit broadband communication leads the way</w:t>
      </w:r>
      <w:r w:rsidR="00311619" w:rsidRPr="0010176D">
        <w:rPr>
          <w:rFonts w:ascii="Times New Roman" w:hAnsi="Times New Roman" w:cs="Times New Roman"/>
          <w:bCs/>
        </w:rPr>
        <w:t xml:space="preserve"> with </w:t>
      </w:r>
      <w:r w:rsidR="001A67EB" w:rsidRPr="0010176D">
        <w:rPr>
          <w:rFonts w:ascii="Times New Roman" w:hAnsi="Times New Roman" w:cs="Times New Roman"/>
          <w:bCs/>
        </w:rPr>
        <w:t>SpaceX</w:t>
      </w:r>
      <w:r w:rsidR="00311619" w:rsidRPr="0010176D">
        <w:rPr>
          <w:rFonts w:ascii="Times New Roman" w:hAnsi="Times New Roman" w:cs="Times New Roman"/>
          <w:bCs/>
        </w:rPr>
        <w:t xml:space="preserve"> </w:t>
      </w:r>
      <w:r w:rsidR="00311619" w:rsidRPr="0010176D">
        <w:rPr>
          <w:rFonts w:ascii="Times New Roman" w:hAnsi="Times New Roman" w:cs="Times New Roman"/>
          <w:bCs/>
        </w:rPr>
        <w:lastRenderedPageBreak/>
        <w:t xml:space="preserve">and </w:t>
      </w:r>
      <w:r w:rsidR="00C22E5D" w:rsidRPr="0010176D">
        <w:rPr>
          <w:rFonts w:ascii="Times New Roman" w:hAnsi="Times New Roman" w:cs="Times New Roman"/>
          <w:bCs/>
        </w:rPr>
        <w:t xml:space="preserve">other </w:t>
      </w:r>
      <w:r w:rsidR="00D7467B" w:rsidRPr="0010176D">
        <w:rPr>
          <w:rFonts w:ascii="Times New Roman" w:hAnsi="Times New Roman" w:cs="Times New Roman"/>
          <w:bCs/>
        </w:rPr>
        <w:t>companies heavily investing in the market.</w:t>
      </w:r>
      <w:r w:rsidR="00311619" w:rsidRPr="0010176D">
        <w:rPr>
          <w:rFonts w:ascii="Times New Roman" w:hAnsi="Times New Roman" w:cs="Times New Roman"/>
          <w:bCs/>
        </w:rPr>
        <w:t xml:space="preserve"> In addition to</w:t>
      </w:r>
      <w:r w:rsidR="00D7467B" w:rsidRPr="0010176D">
        <w:rPr>
          <w:rFonts w:ascii="Times New Roman" w:hAnsi="Times New Roman" w:cs="Times New Roman"/>
          <w:bCs/>
        </w:rPr>
        <w:t xml:space="preserve"> </w:t>
      </w:r>
      <w:r w:rsidR="00C22E5D" w:rsidRPr="0010176D">
        <w:rPr>
          <w:rFonts w:ascii="Times New Roman" w:hAnsi="Times New Roman" w:cs="Times New Roman"/>
          <w:bCs/>
        </w:rPr>
        <w:t>global broadband communication</w:t>
      </w:r>
      <w:r w:rsidR="00F66F7E" w:rsidRPr="0010176D">
        <w:rPr>
          <w:rFonts w:ascii="Times New Roman" w:hAnsi="Times New Roman" w:cs="Times New Roman"/>
          <w:bCs/>
        </w:rPr>
        <w:t xml:space="preserve">s, </w:t>
      </w:r>
      <w:r w:rsidR="008C6833">
        <w:rPr>
          <w:rFonts w:ascii="Times New Roman" w:hAnsi="Times New Roman" w:cs="Times New Roman"/>
          <w:bCs/>
        </w:rPr>
        <w:t xml:space="preserve">historically government dominated </w:t>
      </w:r>
      <w:proofErr w:type="gramStart"/>
      <w:r w:rsidR="008C6833">
        <w:rPr>
          <w:rFonts w:ascii="Times New Roman" w:hAnsi="Times New Roman" w:cs="Times New Roman"/>
          <w:bCs/>
        </w:rPr>
        <w:t>missions</w:t>
      </w:r>
      <w:proofErr w:type="gramEnd"/>
      <w:r w:rsidR="008C6833">
        <w:rPr>
          <w:rFonts w:ascii="Times New Roman" w:hAnsi="Times New Roman" w:cs="Times New Roman"/>
          <w:bCs/>
        </w:rPr>
        <w:t xml:space="preserve"> areas of </w:t>
      </w:r>
      <w:r w:rsidR="00F66F7E" w:rsidRPr="0010176D">
        <w:rPr>
          <w:rFonts w:ascii="Times New Roman" w:hAnsi="Times New Roman" w:cs="Times New Roman"/>
          <w:bCs/>
        </w:rPr>
        <w:t>c</w:t>
      </w:r>
      <w:r w:rsidR="001155AD" w:rsidRPr="0010176D">
        <w:rPr>
          <w:rFonts w:ascii="Times New Roman" w:hAnsi="Times New Roman" w:cs="Times New Roman"/>
          <w:bCs/>
        </w:rPr>
        <w:t xml:space="preserve">ommercial </w:t>
      </w:r>
      <w:r w:rsidR="00816B06" w:rsidRPr="0010176D">
        <w:rPr>
          <w:rFonts w:ascii="Times New Roman" w:hAnsi="Times New Roman" w:cs="Times New Roman"/>
          <w:bCs/>
        </w:rPr>
        <w:t>earth observation</w:t>
      </w:r>
      <w:r w:rsidR="00217EEF">
        <w:rPr>
          <w:rFonts w:ascii="Times New Roman" w:hAnsi="Times New Roman" w:cs="Times New Roman"/>
          <w:bCs/>
        </w:rPr>
        <w:t xml:space="preserve"> </w:t>
      </w:r>
      <w:r w:rsidR="00816B06" w:rsidRPr="0010176D">
        <w:rPr>
          <w:rFonts w:ascii="Times New Roman" w:hAnsi="Times New Roman" w:cs="Times New Roman"/>
          <w:bCs/>
        </w:rPr>
        <w:t xml:space="preserve">and </w:t>
      </w:r>
      <w:r w:rsidR="00EE780F" w:rsidRPr="0010176D">
        <w:rPr>
          <w:rFonts w:ascii="Times New Roman" w:hAnsi="Times New Roman" w:cs="Times New Roman"/>
          <w:bCs/>
        </w:rPr>
        <w:t>space situational awareness and tracking</w:t>
      </w:r>
      <w:r w:rsidR="00FC4951" w:rsidRPr="0010176D">
        <w:rPr>
          <w:rFonts w:ascii="Times New Roman" w:hAnsi="Times New Roman" w:cs="Times New Roman"/>
          <w:bCs/>
        </w:rPr>
        <w:t xml:space="preserve"> </w:t>
      </w:r>
      <w:r w:rsidR="00311619" w:rsidRPr="0010176D">
        <w:rPr>
          <w:rFonts w:ascii="Times New Roman" w:hAnsi="Times New Roman" w:cs="Times New Roman"/>
          <w:bCs/>
        </w:rPr>
        <w:t xml:space="preserve">are increasingly </w:t>
      </w:r>
      <w:r w:rsidR="00AC311B" w:rsidRPr="0010176D">
        <w:rPr>
          <w:rFonts w:ascii="Times New Roman" w:hAnsi="Times New Roman" w:cs="Times New Roman"/>
          <w:bCs/>
        </w:rPr>
        <w:t xml:space="preserve">targeting </w:t>
      </w:r>
      <w:r w:rsidR="008C6833">
        <w:rPr>
          <w:rFonts w:ascii="Times New Roman" w:hAnsi="Times New Roman" w:cs="Times New Roman"/>
          <w:bCs/>
        </w:rPr>
        <w:t xml:space="preserve">solutions from </w:t>
      </w:r>
      <w:r w:rsidR="00AC311B" w:rsidRPr="0010176D">
        <w:rPr>
          <w:rFonts w:ascii="Times New Roman" w:hAnsi="Times New Roman" w:cs="Times New Roman"/>
          <w:bCs/>
        </w:rPr>
        <w:t>the commercial</w:t>
      </w:r>
      <w:r w:rsidR="00FB77E2" w:rsidRPr="0010176D">
        <w:rPr>
          <w:rFonts w:ascii="Times New Roman" w:hAnsi="Times New Roman" w:cs="Times New Roman"/>
          <w:bCs/>
        </w:rPr>
        <w:t xml:space="preserve"> market</w:t>
      </w:r>
      <w:r w:rsidR="00AF171C" w:rsidRPr="0010176D">
        <w:rPr>
          <w:rFonts w:ascii="Times New Roman" w:hAnsi="Times New Roman" w:cs="Times New Roman"/>
          <w:bCs/>
        </w:rPr>
        <w:t xml:space="preserve">. </w:t>
      </w:r>
      <w:r w:rsidR="00FC780D" w:rsidRPr="0010176D">
        <w:rPr>
          <w:rFonts w:ascii="Times New Roman" w:hAnsi="Times New Roman" w:cs="Times New Roman"/>
          <w:bCs/>
        </w:rPr>
        <w:t>The U</w:t>
      </w:r>
      <w:r w:rsidR="001666FE" w:rsidRPr="0010176D">
        <w:rPr>
          <w:rFonts w:ascii="Times New Roman" w:hAnsi="Times New Roman" w:cs="Times New Roman"/>
          <w:bCs/>
        </w:rPr>
        <w:t>.S. Space Force has</w:t>
      </w:r>
      <w:r w:rsidR="00FB77E2" w:rsidRPr="0010176D">
        <w:rPr>
          <w:rFonts w:ascii="Times New Roman" w:hAnsi="Times New Roman" w:cs="Times New Roman"/>
          <w:bCs/>
        </w:rPr>
        <w:t xml:space="preserve"> also</w:t>
      </w:r>
      <w:r w:rsidR="001666FE" w:rsidRPr="0010176D">
        <w:rPr>
          <w:rFonts w:ascii="Times New Roman" w:hAnsi="Times New Roman" w:cs="Times New Roman"/>
          <w:bCs/>
        </w:rPr>
        <w:t xml:space="preserve"> embraced this shift, with Lt. Gen. Philip Garrant, the head of Space Systems Command, prioritizing the rapid delivery of mission-critical systems by aggressively integrating</w:t>
      </w:r>
      <w:r w:rsidR="00887792" w:rsidRPr="0010176D">
        <w:rPr>
          <w:rFonts w:ascii="Times New Roman" w:hAnsi="Times New Roman" w:cs="Times New Roman"/>
          <w:bCs/>
        </w:rPr>
        <w:t xml:space="preserve"> commercial technologies</w:t>
      </w:r>
      <w:r w:rsidR="00FB77E2" w:rsidRPr="0010176D">
        <w:rPr>
          <w:rFonts w:ascii="Times New Roman" w:hAnsi="Times New Roman" w:cs="Times New Roman"/>
          <w:bCs/>
        </w:rPr>
        <w:t xml:space="preserve"> in the U</w:t>
      </w:r>
      <w:r w:rsidR="00182129">
        <w:rPr>
          <w:rFonts w:ascii="Times New Roman" w:hAnsi="Times New Roman" w:cs="Times New Roman"/>
          <w:bCs/>
        </w:rPr>
        <w:t>.S. Space Force</w:t>
      </w:r>
      <w:r w:rsidR="00FB77E2" w:rsidRPr="0010176D">
        <w:rPr>
          <w:rFonts w:ascii="Times New Roman" w:hAnsi="Times New Roman" w:cs="Times New Roman"/>
          <w:bCs/>
        </w:rPr>
        <w:t xml:space="preserve">’s </w:t>
      </w:r>
      <w:r w:rsidR="00DF523D" w:rsidRPr="0010176D">
        <w:rPr>
          <w:rFonts w:ascii="Times New Roman" w:hAnsi="Times New Roman" w:cs="Times New Roman"/>
          <w:bCs/>
        </w:rPr>
        <w:t>architecture</w:t>
      </w:r>
      <w:r w:rsidR="00887792" w:rsidRPr="0010176D">
        <w:rPr>
          <w:rFonts w:ascii="Times New Roman" w:hAnsi="Times New Roman" w:cs="Times New Roman"/>
          <w:bCs/>
        </w:rPr>
        <w:t>.</w:t>
      </w:r>
      <w:r w:rsidR="009570BD" w:rsidRPr="0010176D">
        <w:rPr>
          <w:rStyle w:val="FootnoteReference"/>
          <w:rFonts w:ascii="Times New Roman" w:hAnsi="Times New Roman" w:cs="Times New Roman"/>
          <w:bCs/>
        </w:rPr>
        <w:footnoteReference w:id="7"/>
      </w:r>
    </w:p>
    <w:p w14:paraId="308ED9EC" w14:textId="08517653" w:rsidR="00E23B29" w:rsidRPr="0010176D" w:rsidRDefault="00CE429E" w:rsidP="00CE429E">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E23B29" w:rsidRPr="0010176D">
        <w:rPr>
          <w:rFonts w:ascii="Times New Roman" w:hAnsi="Times New Roman" w:cs="Times New Roman"/>
          <w:bCs/>
        </w:rPr>
        <w:t xml:space="preserve">The evolving landscape of orbital activity forced a significant reevaluation of how the </w:t>
      </w:r>
      <w:r w:rsidR="00105F7B" w:rsidRPr="0010176D">
        <w:rPr>
          <w:rFonts w:ascii="Times New Roman" w:hAnsi="Times New Roman" w:cs="Times New Roman"/>
          <w:bCs/>
        </w:rPr>
        <w:t>government</w:t>
      </w:r>
      <w:r w:rsidR="00E23B29" w:rsidRPr="0010176D">
        <w:rPr>
          <w:rFonts w:ascii="Times New Roman" w:hAnsi="Times New Roman" w:cs="Times New Roman"/>
          <w:bCs/>
        </w:rPr>
        <w:t xml:space="preserve"> and private sectors interact. </w:t>
      </w:r>
      <w:r w:rsidR="00E63DC7" w:rsidRPr="0010176D">
        <w:rPr>
          <w:rFonts w:ascii="Times New Roman" w:hAnsi="Times New Roman" w:cs="Times New Roman"/>
          <w:bCs/>
        </w:rPr>
        <w:t xml:space="preserve">With the increase in cadence here and arguably not going away, how has the regulatory and policy </w:t>
      </w:r>
      <w:r w:rsidR="00552E55" w:rsidRPr="0010176D">
        <w:rPr>
          <w:rFonts w:ascii="Times New Roman" w:hAnsi="Times New Roman" w:cs="Times New Roman"/>
          <w:bCs/>
        </w:rPr>
        <w:t>environment evolved?  In what ways did the government and the USSF enable or hinder commercial</w:t>
      </w:r>
      <w:r w:rsidR="00CC321C" w:rsidRPr="0010176D">
        <w:rPr>
          <w:rFonts w:ascii="Times New Roman" w:hAnsi="Times New Roman" w:cs="Times New Roman"/>
          <w:bCs/>
        </w:rPr>
        <w:t xml:space="preserve"> innovation and the rapid increase in launches? </w:t>
      </w:r>
      <w:r w:rsidR="00E23B29" w:rsidRPr="0010176D">
        <w:rPr>
          <w:rFonts w:ascii="Times New Roman" w:hAnsi="Times New Roman" w:cs="Times New Roman"/>
          <w:bCs/>
        </w:rPr>
        <w:t xml:space="preserve">This tension between </w:t>
      </w:r>
      <w:r w:rsidR="00560D2D" w:rsidRPr="0010176D">
        <w:rPr>
          <w:rFonts w:ascii="Times New Roman" w:hAnsi="Times New Roman" w:cs="Times New Roman"/>
          <w:bCs/>
        </w:rPr>
        <w:t xml:space="preserve">government </w:t>
      </w:r>
      <w:r w:rsidR="00E23B29" w:rsidRPr="0010176D">
        <w:rPr>
          <w:rFonts w:ascii="Times New Roman" w:hAnsi="Times New Roman" w:cs="Times New Roman"/>
          <w:bCs/>
        </w:rPr>
        <w:t>oversight and industry speed ultimately defines the modern space</w:t>
      </w:r>
      <w:r w:rsidR="005D7FBC" w:rsidRPr="0010176D">
        <w:rPr>
          <w:rFonts w:ascii="Times New Roman" w:hAnsi="Times New Roman" w:cs="Times New Roman"/>
          <w:bCs/>
        </w:rPr>
        <w:t xml:space="preserve"> launch era</w:t>
      </w:r>
      <w:r w:rsidR="00560D2D" w:rsidRPr="0010176D">
        <w:rPr>
          <w:rFonts w:ascii="Times New Roman" w:hAnsi="Times New Roman" w:cs="Times New Roman"/>
          <w:bCs/>
        </w:rPr>
        <w:t xml:space="preserve">. In the following section, </w:t>
      </w:r>
      <w:r w:rsidR="00CD5622" w:rsidRPr="0010176D">
        <w:rPr>
          <w:rFonts w:ascii="Times New Roman" w:hAnsi="Times New Roman" w:cs="Times New Roman"/>
          <w:bCs/>
        </w:rPr>
        <w:t xml:space="preserve">this project will explore the </w:t>
      </w:r>
      <w:r w:rsidR="0069634A" w:rsidRPr="0010176D">
        <w:rPr>
          <w:rFonts w:ascii="Times New Roman" w:hAnsi="Times New Roman" w:cs="Times New Roman"/>
          <w:bCs/>
        </w:rPr>
        <w:t xml:space="preserve">key policies </w:t>
      </w:r>
      <w:r w:rsidR="00CD5622" w:rsidRPr="0010176D">
        <w:rPr>
          <w:rFonts w:ascii="Times New Roman" w:hAnsi="Times New Roman" w:cs="Times New Roman"/>
          <w:bCs/>
        </w:rPr>
        <w:t xml:space="preserve">covering </w:t>
      </w:r>
      <w:r w:rsidR="00485180" w:rsidRPr="0010176D">
        <w:rPr>
          <w:rFonts w:ascii="Times New Roman" w:hAnsi="Times New Roman" w:cs="Times New Roman"/>
          <w:bCs/>
        </w:rPr>
        <w:t xml:space="preserve">space launch. This exploration will help set the stage for how </w:t>
      </w:r>
      <w:r w:rsidR="00E23B29" w:rsidRPr="0010176D">
        <w:rPr>
          <w:rFonts w:ascii="Times New Roman" w:hAnsi="Times New Roman" w:cs="Times New Roman"/>
          <w:bCs/>
        </w:rPr>
        <w:t xml:space="preserve">policymakers </w:t>
      </w:r>
      <w:r w:rsidR="005F68B6" w:rsidRPr="0010176D">
        <w:rPr>
          <w:rFonts w:ascii="Times New Roman" w:hAnsi="Times New Roman" w:cs="Times New Roman"/>
          <w:bCs/>
        </w:rPr>
        <w:t>and U</w:t>
      </w:r>
      <w:r w:rsidR="00182129">
        <w:rPr>
          <w:rFonts w:ascii="Times New Roman" w:hAnsi="Times New Roman" w:cs="Times New Roman"/>
          <w:bCs/>
        </w:rPr>
        <w:t xml:space="preserve">.S. Space Force </w:t>
      </w:r>
      <w:r w:rsidR="005F68B6" w:rsidRPr="0010176D">
        <w:rPr>
          <w:rFonts w:ascii="Times New Roman" w:hAnsi="Times New Roman" w:cs="Times New Roman"/>
          <w:bCs/>
        </w:rPr>
        <w:t>leaders worked to</w:t>
      </w:r>
      <w:r w:rsidR="00E23B29" w:rsidRPr="0010176D">
        <w:rPr>
          <w:rFonts w:ascii="Times New Roman" w:hAnsi="Times New Roman" w:cs="Times New Roman"/>
          <w:bCs/>
        </w:rPr>
        <w:t xml:space="preserve"> modernize frameworks that were built for a</w:t>
      </w:r>
      <w:r w:rsidR="005D7FBC" w:rsidRPr="0010176D">
        <w:rPr>
          <w:rFonts w:ascii="Times New Roman" w:hAnsi="Times New Roman" w:cs="Times New Roman"/>
          <w:bCs/>
        </w:rPr>
        <w:t>n</w:t>
      </w:r>
      <w:r w:rsidR="00E23B29" w:rsidRPr="0010176D">
        <w:rPr>
          <w:rFonts w:ascii="Times New Roman" w:hAnsi="Times New Roman" w:cs="Times New Roman"/>
          <w:bCs/>
        </w:rPr>
        <w:t xml:space="preserve"> era</w:t>
      </w:r>
      <w:r w:rsidR="005D7FBC" w:rsidRPr="0010176D">
        <w:rPr>
          <w:rFonts w:ascii="Times New Roman" w:hAnsi="Times New Roman" w:cs="Times New Roman"/>
          <w:bCs/>
        </w:rPr>
        <w:t xml:space="preserve"> </w:t>
      </w:r>
      <w:r w:rsidR="000124A8" w:rsidRPr="0010176D">
        <w:rPr>
          <w:rFonts w:ascii="Times New Roman" w:hAnsi="Times New Roman" w:cs="Times New Roman"/>
          <w:bCs/>
        </w:rPr>
        <w:t>when</w:t>
      </w:r>
      <w:r w:rsidR="005D7FBC" w:rsidRPr="0010176D">
        <w:rPr>
          <w:rFonts w:ascii="Times New Roman" w:hAnsi="Times New Roman" w:cs="Times New Roman"/>
          <w:bCs/>
        </w:rPr>
        <w:t xml:space="preserve"> 100s of launches per year</w:t>
      </w:r>
      <w:r w:rsidR="000124A8" w:rsidRPr="0010176D">
        <w:rPr>
          <w:rFonts w:ascii="Times New Roman" w:hAnsi="Times New Roman" w:cs="Times New Roman"/>
          <w:bCs/>
        </w:rPr>
        <w:t xml:space="preserve"> was </w:t>
      </w:r>
      <w:r w:rsidR="004B12A0" w:rsidRPr="0010176D">
        <w:rPr>
          <w:rFonts w:ascii="Times New Roman" w:hAnsi="Times New Roman" w:cs="Times New Roman"/>
          <w:bCs/>
        </w:rPr>
        <w:t xml:space="preserve">generally considered </w:t>
      </w:r>
      <w:r w:rsidR="003C35EB" w:rsidRPr="0010176D">
        <w:rPr>
          <w:rFonts w:ascii="Times New Roman" w:hAnsi="Times New Roman" w:cs="Times New Roman"/>
          <w:bCs/>
        </w:rPr>
        <w:t>u</w:t>
      </w:r>
      <w:r w:rsidR="0006082A" w:rsidRPr="0010176D">
        <w:rPr>
          <w:rFonts w:ascii="Times New Roman" w:hAnsi="Times New Roman" w:cs="Times New Roman"/>
          <w:bCs/>
        </w:rPr>
        <w:t xml:space="preserve">nachievable. </w:t>
      </w:r>
    </w:p>
    <w:p w14:paraId="7BE1C525" w14:textId="77777777" w:rsidR="003865C4" w:rsidRPr="0010176D" w:rsidRDefault="003865C4" w:rsidP="002F32CA">
      <w:pPr>
        <w:pStyle w:val="ListParagraph"/>
        <w:widowControl w:val="0"/>
        <w:tabs>
          <w:tab w:val="left" w:pos="270"/>
        </w:tabs>
        <w:autoSpaceDE w:val="0"/>
        <w:autoSpaceDN w:val="0"/>
        <w:spacing w:after="0" w:line="259" w:lineRule="auto"/>
        <w:ind w:left="0"/>
        <w:contextualSpacing w:val="0"/>
        <w:rPr>
          <w:rFonts w:ascii="Times New Roman" w:hAnsi="Times New Roman" w:cs="Times New Roman"/>
          <w:bCs/>
        </w:rPr>
      </w:pPr>
    </w:p>
    <w:p w14:paraId="19CB00AF" w14:textId="557E7E97" w:rsidR="003865C4" w:rsidRPr="007931E5" w:rsidRDefault="003865C4" w:rsidP="00350E78">
      <w:pPr>
        <w:pStyle w:val="Heading1"/>
        <w:spacing w:after="360"/>
        <w:rPr>
          <w:rFonts w:ascii="Times New Roman" w:hAnsi="Times New Roman" w:cs="Times New Roman"/>
          <w:b/>
          <w:bCs/>
          <w:color w:val="auto"/>
          <w:sz w:val="32"/>
          <w:szCs w:val="32"/>
        </w:rPr>
      </w:pPr>
      <w:bookmarkStart w:id="8" w:name="_Toc227163555"/>
      <w:r w:rsidRPr="007931E5">
        <w:rPr>
          <w:rFonts w:ascii="Times New Roman" w:hAnsi="Times New Roman" w:cs="Times New Roman"/>
          <w:b/>
          <w:bCs/>
          <w:color w:val="auto"/>
          <w:sz w:val="32"/>
          <w:szCs w:val="32"/>
        </w:rPr>
        <w:t>Evolving Policy for Space Launch</w:t>
      </w:r>
      <w:bookmarkEnd w:id="8"/>
    </w:p>
    <w:p w14:paraId="0DFC1C04" w14:textId="47180E0A" w:rsidR="003865C4" w:rsidRPr="0010176D" w:rsidRDefault="003865C4"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tab/>
      </w:r>
      <w:r w:rsidRPr="0010176D">
        <w:rPr>
          <w:rFonts w:ascii="Times New Roman" w:hAnsi="Times New Roman" w:cs="Times New Roman"/>
          <w:bCs/>
        </w:rPr>
        <w:tab/>
        <w:t>As of March 2026, the</w:t>
      </w:r>
      <w:r w:rsidR="00CC6D09" w:rsidRPr="0010176D">
        <w:rPr>
          <w:rFonts w:ascii="Times New Roman" w:hAnsi="Times New Roman" w:cs="Times New Roman"/>
          <w:bCs/>
        </w:rPr>
        <w:t xml:space="preserve"> </w:t>
      </w:r>
      <w:r w:rsidRPr="0010176D">
        <w:rPr>
          <w:rFonts w:ascii="Times New Roman" w:hAnsi="Times New Roman" w:cs="Times New Roman"/>
          <w:bCs/>
        </w:rPr>
        <w:t xml:space="preserve">regulatory framework and key legislation </w:t>
      </w:r>
      <w:r w:rsidR="00CC6D09" w:rsidRPr="0010176D">
        <w:rPr>
          <w:rFonts w:ascii="Times New Roman" w:hAnsi="Times New Roman" w:cs="Times New Roman"/>
          <w:bCs/>
        </w:rPr>
        <w:t>that covers U.S. space launch</w:t>
      </w:r>
      <w:r w:rsidRPr="0010176D">
        <w:rPr>
          <w:rFonts w:ascii="Times New Roman" w:hAnsi="Times New Roman" w:cs="Times New Roman"/>
          <w:bCs/>
        </w:rPr>
        <w:t xml:space="preserve"> center</w:t>
      </w:r>
      <w:r w:rsidR="00CC6D09" w:rsidRPr="0010176D">
        <w:rPr>
          <w:rFonts w:ascii="Times New Roman" w:hAnsi="Times New Roman" w:cs="Times New Roman"/>
          <w:bCs/>
        </w:rPr>
        <w:t>s</w:t>
      </w:r>
      <w:r w:rsidRPr="0010176D">
        <w:rPr>
          <w:rFonts w:ascii="Times New Roman" w:hAnsi="Times New Roman" w:cs="Times New Roman"/>
          <w:bCs/>
        </w:rPr>
        <w:t xml:space="preserve"> on streamlining commercial operations and promoting public safety while supporting the rapid growth of the industry.  The Commercial Space Launch Act</w:t>
      </w:r>
      <w:r w:rsidR="00D12083" w:rsidRPr="0010176D">
        <w:rPr>
          <w:rFonts w:ascii="Times New Roman" w:hAnsi="Times New Roman" w:cs="Times New Roman"/>
          <w:bCs/>
        </w:rPr>
        <w:t xml:space="preserve"> </w:t>
      </w:r>
      <w:r w:rsidRPr="0010176D">
        <w:rPr>
          <w:rFonts w:ascii="Times New Roman" w:hAnsi="Times New Roman" w:cs="Times New Roman"/>
          <w:bCs/>
        </w:rPr>
        <w:t xml:space="preserve">and 14 CFR </w:t>
      </w:r>
      <w:r w:rsidRPr="0010176D">
        <w:rPr>
          <w:rFonts w:ascii="Times New Roman" w:hAnsi="Times New Roman" w:cs="Times New Roman"/>
          <w:bCs/>
        </w:rPr>
        <w:lastRenderedPageBreak/>
        <w:t>Part 450, also known as the “Streamlined Launch and Reentry License Rule</w:t>
      </w:r>
      <w:r w:rsidR="00D12083" w:rsidRPr="0010176D">
        <w:rPr>
          <w:rFonts w:ascii="Times New Roman" w:hAnsi="Times New Roman" w:cs="Times New Roman"/>
          <w:bCs/>
        </w:rPr>
        <w:t>,</w:t>
      </w:r>
      <w:r w:rsidRPr="0010176D">
        <w:rPr>
          <w:rFonts w:ascii="Times New Roman" w:hAnsi="Times New Roman" w:cs="Times New Roman"/>
          <w:bCs/>
        </w:rPr>
        <w:t xml:space="preserve">” are the central documents for space launch licensing in the United States. The U.S. Space Force’s authority for space launch is derived from Title 10 authority and annually through the National Defense Authorization Act (NDAA).  </w:t>
      </w:r>
    </w:p>
    <w:p w14:paraId="1CC8F3D4" w14:textId="6180CCCF" w:rsidR="003865C4" w:rsidRPr="0010176D" w:rsidRDefault="003865C4"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tab/>
      </w:r>
      <w:r w:rsidRPr="0010176D">
        <w:rPr>
          <w:rFonts w:ascii="Times New Roman" w:hAnsi="Times New Roman" w:cs="Times New Roman"/>
          <w:bCs/>
        </w:rPr>
        <w:tab/>
        <w:t>The Commercial Space Launch Act, enacted in 1984, remains a foundational law</w:t>
      </w:r>
      <w:r w:rsidR="00AA56A7" w:rsidRPr="0010176D">
        <w:rPr>
          <w:rFonts w:ascii="Times New Roman" w:hAnsi="Times New Roman" w:cs="Times New Roman"/>
          <w:bCs/>
        </w:rPr>
        <w:t xml:space="preserve"> in space launch</w:t>
      </w:r>
      <w:r w:rsidRPr="0010176D">
        <w:rPr>
          <w:rFonts w:ascii="Times New Roman" w:hAnsi="Times New Roman" w:cs="Times New Roman"/>
          <w:bCs/>
        </w:rPr>
        <w:t>, giving the Department of Transportation (DOT) the authority to license launch vehicles.</w:t>
      </w:r>
      <w:r w:rsidRPr="0010176D">
        <w:rPr>
          <w:rStyle w:val="FootnoteReference"/>
          <w:rFonts w:ascii="Times New Roman" w:hAnsi="Times New Roman" w:cs="Times New Roman"/>
          <w:bCs/>
        </w:rPr>
        <w:footnoteReference w:id="8"/>
      </w:r>
      <w:r w:rsidRPr="0010176D">
        <w:rPr>
          <w:rFonts w:ascii="Times New Roman" w:hAnsi="Times New Roman" w:cs="Times New Roman"/>
          <w:bCs/>
        </w:rPr>
        <w:t xml:space="preserve"> The DOT implements the space launch and reentry license authorities through the Federal Aviation Administration (FAA) Office of Commercial Space Transportation (AST).</w:t>
      </w:r>
      <w:r w:rsidRPr="0010176D">
        <w:rPr>
          <w:rStyle w:val="FootnoteReference"/>
          <w:rFonts w:ascii="Times New Roman" w:hAnsi="Times New Roman" w:cs="Times New Roman"/>
          <w:bCs/>
        </w:rPr>
        <w:footnoteReference w:id="9"/>
      </w:r>
      <w:r w:rsidRPr="0010176D">
        <w:rPr>
          <w:rFonts w:ascii="Times New Roman" w:hAnsi="Times New Roman" w:cs="Times New Roman"/>
          <w:bCs/>
        </w:rPr>
        <w:t xml:space="preserve"> The Commercial Space Act of 1998 expanded the 1984 policy by directing federal agencies to acquire space launch services from commercial providers in the United States, whenever possible, rather than using government-owned vehicles.</w:t>
      </w:r>
      <w:r w:rsidRPr="0010176D">
        <w:rPr>
          <w:rStyle w:val="FootnoteReference"/>
          <w:rFonts w:ascii="Times New Roman" w:hAnsi="Times New Roman" w:cs="Times New Roman"/>
          <w:bCs/>
        </w:rPr>
        <w:footnoteReference w:id="10"/>
      </w:r>
      <w:r w:rsidRPr="0010176D">
        <w:rPr>
          <w:rFonts w:ascii="Times New Roman" w:hAnsi="Times New Roman" w:cs="Times New Roman"/>
          <w:bCs/>
        </w:rPr>
        <w:t xml:space="preserve"> While specific processes in the regulatory framework for space launch licenses have shifted since the Commercial Space Launch Act, the DOT and FAA have remained steadfast in their commitment to “protect the public health and safety, safety of property, and national security and foreign policy interested of the United States” in the implementation of its regulatory authority.</w:t>
      </w:r>
      <w:r w:rsidRPr="0010176D">
        <w:rPr>
          <w:rStyle w:val="FootnoteReference"/>
          <w:rFonts w:ascii="Times New Roman" w:hAnsi="Times New Roman" w:cs="Times New Roman"/>
          <w:bCs/>
        </w:rPr>
        <w:footnoteReference w:id="11"/>
      </w:r>
    </w:p>
    <w:p w14:paraId="522619C4" w14:textId="6D35BDDE" w:rsidR="003865C4" w:rsidRPr="0010176D" w:rsidRDefault="003865C4"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tab/>
      </w:r>
      <w:r w:rsidRPr="0010176D">
        <w:rPr>
          <w:rFonts w:ascii="Times New Roman" w:hAnsi="Times New Roman" w:cs="Times New Roman"/>
          <w:bCs/>
        </w:rPr>
        <w:tab/>
        <w:t xml:space="preserve">Several regulations were enacted between 1984 and 2006 governing space launch licensing, and 14 CFR Part 450 “Streamlining Launch and Reentry License Requirements” set out to consolidate these regulations and modernize the licensing process in the United States. Released in 2020 and fully implemented as of 10 March 2026, Part 450 is administered by the FAA and was created as a response to the “…rapid expansion of the commercial space industry, </w:t>
      </w:r>
      <w:r w:rsidRPr="0010176D">
        <w:rPr>
          <w:rFonts w:ascii="Times New Roman" w:hAnsi="Times New Roman" w:cs="Times New Roman"/>
          <w:bCs/>
        </w:rPr>
        <w:lastRenderedPageBreak/>
        <w:t>which demanded a more adaptable set of regulations to accommodate new technologies, innovative business models, and the growing frequency of commercial space operations.”</w:t>
      </w:r>
      <w:r w:rsidRPr="0010176D">
        <w:rPr>
          <w:rStyle w:val="FootnoteReference"/>
          <w:rFonts w:ascii="Times New Roman" w:hAnsi="Times New Roman" w:cs="Times New Roman"/>
          <w:bCs/>
        </w:rPr>
        <w:footnoteReference w:id="12"/>
      </w:r>
      <w:r w:rsidRPr="0010176D">
        <w:rPr>
          <w:rFonts w:ascii="Times New Roman" w:hAnsi="Times New Roman" w:cs="Times New Roman"/>
          <w:bCs/>
        </w:rPr>
        <w:t xml:space="preserve"> In areas such as performance-based standards and licenses covering multiple launches and reentries, Part 450 has proven to add operational flexibility for launch companies. However, there are still concerns with the overall regulatory complexity and heavy administrative workload required for both industry and the FAA regulators.  </w:t>
      </w:r>
    </w:p>
    <w:p w14:paraId="6E63EDEE" w14:textId="250D5F63" w:rsidR="003865C4" w:rsidRPr="0010176D" w:rsidRDefault="003865C4"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tab/>
      </w:r>
      <w:r w:rsidRPr="0010176D">
        <w:rPr>
          <w:rFonts w:ascii="Times New Roman" w:hAnsi="Times New Roman" w:cs="Times New Roman"/>
          <w:bCs/>
        </w:rPr>
        <w:tab/>
        <w:t xml:space="preserve">The U.S. Space Force was established on December 20, </w:t>
      </w:r>
      <w:proofErr w:type="gramStart"/>
      <w:r w:rsidRPr="0010176D">
        <w:rPr>
          <w:rFonts w:ascii="Times New Roman" w:hAnsi="Times New Roman" w:cs="Times New Roman"/>
          <w:bCs/>
        </w:rPr>
        <w:t>2019</w:t>
      </w:r>
      <w:proofErr w:type="gramEnd"/>
      <w:r w:rsidRPr="0010176D">
        <w:rPr>
          <w:rFonts w:ascii="Times New Roman" w:hAnsi="Times New Roman" w:cs="Times New Roman"/>
          <w:bCs/>
        </w:rPr>
        <w:t xml:space="preserve"> when President Trump signed the Fiscal Year 2020 NDAA. This and subsequent NDAAs grant the U.S. Space Force primary legal authority for space launch operations</w:t>
      </w:r>
      <w:r w:rsidR="00822C44" w:rsidRPr="0010176D">
        <w:rPr>
          <w:rFonts w:ascii="Times New Roman" w:hAnsi="Times New Roman" w:cs="Times New Roman"/>
          <w:bCs/>
        </w:rPr>
        <w:t xml:space="preserve"> and au</w:t>
      </w:r>
      <w:r w:rsidR="00C14B73" w:rsidRPr="0010176D">
        <w:rPr>
          <w:rFonts w:ascii="Times New Roman" w:hAnsi="Times New Roman" w:cs="Times New Roman"/>
          <w:bCs/>
        </w:rPr>
        <w:t xml:space="preserve">thorizes </w:t>
      </w:r>
      <w:r w:rsidRPr="0010176D">
        <w:rPr>
          <w:rFonts w:ascii="Times New Roman" w:hAnsi="Times New Roman" w:cs="Times New Roman"/>
          <w:bCs/>
        </w:rPr>
        <w:t xml:space="preserve">the National Security Space Launch (NSSL) program, which is managed by the U.S. Space Force to provide assured access launch services for military, intelligence, and other government agencies.  Additionally, various sections of Title 10 code provide further requirements for the U.S. Space Force, including maintaining at least two launch vehicles capable of delivering national security payloads (10 U.S.C. § 2273) </w:t>
      </w:r>
      <w:r w:rsidRPr="0010176D">
        <w:rPr>
          <w:rStyle w:val="FootnoteReference"/>
          <w:rFonts w:ascii="Times New Roman" w:hAnsi="Times New Roman" w:cs="Times New Roman"/>
          <w:bCs/>
        </w:rPr>
        <w:footnoteReference w:id="13"/>
      </w:r>
      <w:r w:rsidRPr="0010176D">
        <w:rPr>
          <w:rFonts w:ascii="Times New Roman" w:hAnsi="Times New Roman" w:cs="Times New Roman"/>
          <w:bCs/>
        </w:rPr>
        <w:t xml:space="preserve"> and partnering with private commercial space launch industry for launch services (10 U.S.C. 2276).</w:t>
      </w:r>
      <w:r w:rsidRPr="0010176D">
        <w:rPr>
          <w:rStyle w:val="FootnoteReference"/>
          <w:rFonts w:ascii="Times New Roman" w:hAnsi="Times New Roman" w:cs="Times New Roman"/>
          <w:bCs/>
        </w:rPr>
        <w:footnoteReference w:id="14"/>
      </w:r>
    </w:p>
    <w:p w14:paraId="783F3C5E" w14:textId="77777777" w:rsidR="003865C4" w:rsidRPr="0010176D" w:rsidRDefault="003865C4" w:rsidP="002F32CA">
      <w:pPr>
        <w:pStyle w:val="ListParagraph"/>
        <w:widowControl w:val="0"/>
        <w:tabs>
          <w:tab w:val="left" w:pos="270"/>
        </w:tabs>
        <w:autoSpaceDE w:val="0"/>
        <w:autoSpaceDN w:val="0"/>
        <w:spacing w:after="0" w:line="259" w:lineRule="auto"/>
        <w:ind w:left="0"/>
        <w:contextualSpacing w:val="0"/>
        <w:rPr>
          <w:rFonts w:ascii="Times New Roman" w:hAnsi="Times New Roman" w:cs="Times New Roman"/>
          <w:bCs/>
        </w:rPr>
      </w:pPr>
    </w:p>
    <w:p w14:paraId="0A61D949" w14:textId="76B4D5BC" w:rsidR="003865C4" w:rsidRPr="007931E5" w:rsidRDefault="00BE002C" w:rsidP="00350E78">
      <w:pPr>
        <w:pStyle w:val="Heading1"/>
        <w:spacing w:after="360"/>
        <w:rPr>
          <w:rFonts w:ascii="Times New Roman" w:hAnsi="Times New Roman" w:cs="Times New Roman"/>
          <w:b/>
          <w:bCs/>
          <w:color w:val="auto"/>
          <w:sz w:val="32"/>
          <w:szCs w:val="32"/>
        </w:rPr>
      </w:pPr>
      <w:bookmarkStart w:id="9" w:name="_Toc227163556"/>
      <w:r w:rsidRPr="007931E5">
        <w:rPr>
          <w:rFonts w:ascii="Times New Roman" w:hAnsi="Times New Roman" w:cs="Times New Roman"/>
          <w:b/>
          <w:bCs/>
          <w:color w:val="auto"/>
          <w:sz w:val="32"/>
          <w:szCs w:val="32"/>
        </w:rPr>
        <w:t xml:space="preserve">Why </w:t>
      </w:r>
      <w:r w:rsidR="00666BCB" w:rsidRPr="007931E5">
        <w:rPr>
          <w:rFonts w:ascii="Times New Roman" w:hAnsi="Times New Roman" w:cs="Times New Roman"/>
          <w:b/>
          <w:bCs/>
          <w:color w:val="auto"/>
          <w:sz w:val="32"/>
          <w:szCs w:val="32"/>
        </w:rPr>
        <w:t>T</w:t>
      </w:r>
      <w:r w:rsidRPr="007931E5">
        <w:rPr>
          <w:rFonts w:ascii="Times New Roman" w:hAnsi="Times New Roman" w:cs="Times New Roman"/>
          <w:b/>
          <w:bCs/>
          <w:color w:val="auto"/>
          <w:sz w:val="32"/>
          <w:szCs w:val="32"/>
        </w:rPr>
        <w:t xml:space="preserve">his </w:t>
      </w:r>
      <w:r w:rsidR="00666BCB" w:rsidRPr="007931E5">
        <w:rPr>
          <w:rFonts w:ascii="Times New Roman" w:hAnsi="Times New Roman" w:cs="Times New Roman"/>
          <w:b/>
          <w:bCs/>
          <w:color w:val="auto"/>
          <w:sz w:val="32"/>
          <w:szCs w:val="32"/>
        </w:rPr>
        <w:t>M</w:t>
      </w:r>
      <w:r w:rsidRPr="007931E5">
        <w:rPr>
          <w:rFonts w:ascii="Times New Roman" w:hAnsi="Times New Roman" w:cs="Times New Roman"/>
          <w:b/>
          <w:bCs/>
          <w:color w:val="auto"/>
          <w:sz w:val="32"/>
          <w:szCs w:val="32"/>
        </w:rPr>
        <w:t xml:space="preserve">atters? - </w:t>
      </w:r>
      <w:r w:rsidR="003865C4" w:rsidRPr="007931E5">
        <w:rPr>
          <w:rFonts w:ascii="Times New Roman" w:hAnsi="Times New Roman" w:cs="Times New Roman"/>
          <w:b/>
          <w:bCs/>
          <w:color w:val="auto"/>
          <w:sz w:val="32"/>
          <w:szCs w:val="32"/>
        </w:rPr>
        <w:t>Impacts of 2273 and 2276.</w:t>
      </w:r>
      <w:bookmarkEnd w:id="9"/>
    </w:p>
    <w:p w14:paraId="4C76ED12" w14:textId="7EC9839F" w:rsidR="003865C4" w:rsidRPr="0010176D" w:rsidRDefault="003865C4"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t xml:space="preserve"> </w:t>
      </w:r>
      <w:r w:rsidR="00BE002C" w:rsidRPr="0010176D">
        <w:rPr>
          <w:rFonts w:ascii="Times New Roman" w:hAnsi="Times New Roman" w:cs="Times New Roman"/>
          <w:bCs/>
        </w:rPr>
        <w:tab/>
      </w:r>
      <w:r w:rsidR="00BE002C" w:rsidRPr="0010176D">
        <w:rPr>
          <w:rFonts w:ascii="Times New Roman" w:hAnsi="Times New Roman" w:cs="Times New Roman"/>
          <w:bCs/>
        </w:rPr>
        <w:tab/>
      </w:r>
      <w:r w:rsidRPr="0010176D">
        <w:rPr>
          <w:rFonts w:ascii="Times New Roman" w:hAnsi="Times New Roman" w:cs="Times New Roman"/>
          <w:bCs/>
        </w:rPr>
        <w:t xml:space="preserve">Together, legislative updates in 2010s provided the regulatory framework to enable the rapid acceleration of launches experience in the late 2010s. Prior to 10 U.S.C. Section 2273, even as the DoD permitted commercial operators to use military equipment, facilities, and land on a </w:t>
      </w:r>
      <w:r w:rsidRPr="0010176D">
        <w:rPr>
          <w:rFonts w:ascii="Times New Roman" w:hAnsi="Times New Roman" w:cs="Times New Roman"/>
          <w:bCs/>
        </w:rPr>
        <w:lastRenderedPageBreak/>
        <w:t xml:space="preserve">“non-interference basis,” it was operating under a patchwork of separate statutes, executive directives, and instructions. Furthermore, reimbursement of costs was inflexible and limited; companies were required to pay the “direct costs” the government incurred for a specific launch. </w:t>
      </w:r>
    </w:p>
    <w:p w14:paraId="17088F22" w14:textId="6BA5AF3D" w:rsidR="003865C4" w:rsidRPr="0010176D" w:rsidRDefault="003865C4"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tab/>
      </w:r>
      <w:r w:rsidRPr="0010176D">
        <w:rPr>
          <w:rFonts w:ascii="Times New Roman" w:hAnsi="Times New Roman" w:cs="Times New Roman"/>
          <w:bCs/>
        </w:rPr>
        <w:tab/>
        <w:t>Title 10 USC Section 2276 was enacted on 2 January 2013 with the purpose of promoting commercial space industry access to U.S. government launch capabilities. This law established significant improvements in cooperation between the government and commercial industry. By enabling private entities to invest directly in government space infrastructure, the law allowed for shared infrastructure and enhanced measures for cost sharing of common commodities, and it gave the Secretary of Defense streamlined and codified authority to enter into specific cooperative agreements “in the best interest of the Federal Government.”</w:t>
      </w:r>
      <w:r w:rsidRPr="0010176D">
        <w:rPr>
          <w:rStyle w:val="FootnoteReference"/>
          <w:rFonts w:ascii="Times New Roman" w:hAnsi="Times New Roman" w:cs="Times New Roman"/>
          <w:bCs/>
        </w:rPr>
        <w:footnoteReference w:id="15"/>
      </w:r>
      <w:r w:rsidRPr="0010176D">
        <w:rPr>
          <w:rFonts w:ascii="Times New Roman" w:hAnsi="Times New Roman" w:cs="Times New Roman"/>
          <w:bCs/>
        </w:rPr>
        <w:t xml:space="preserve"> It was through this partnership approach that the modern launch pads were developed; the range focused its investments on common infrastructure like roads, power distribution, and commodities distribution while United Launch Alliance, SpaceX, Blue Origin, and many others focused investments on retrofitting, maintaining, and upgrading aging launch pad infrastructure. </w:t>
      </w:r>
      <w:r w:rsidRPr="0010176D">
        <w:rPr>
          <w:rFonts w:ascii="Times New Roman" w:hAnsi="Times New Roman" w:cs="Times New Roman"/>
          <w:bCs/>
        </w:rPr>
        <w:tab/>
      </w:r>
      <w:r w:rsidRPr="0010176D">
        <w:rPr>
          <w:rFonts w:ascii="Times New Roman" w:hAnsi="Times New Roman" w:cs="Times New Roman"/>
          <w:bCs/>
        </w:rPr>
        <w:tab/>
      </w:r>
    </w:p>
    <w:p w14:paraId="5910046E" w14:textId="6914FFE2" w:rsidR="003865C4" w:rsidRPr="0010176D" w:rsidRDefault="003865C4"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tab/>
      </w:r>
      <w:r w:rsidRPr="0010176D">
        <w:rPr>
          <w:rFonts w:ascii="Times New Roman" w:hAnsi="Times New Roman" w:cs="Times New Roman"/>
          <w:bCs/>
        </w:rPr>
        <w:tab/>
        <w:t>Title 10 USC Section 2276a has a similar story. Enacted on December 22, 2023, Section 2276a authorizes U.S. military departments to “provide to the commercial entity supplies, services, equipment, and construction needed for commercial space launch.”</w:t>
      </w:r>
      <w:r w:rsidRPr="0010176D">
        <w:rPr>
          <w:rStyle w:val="FootnoteReference"/>
          <w:rFonts w:ascii="Times New Roman" w:hAnsi="Times New Roman" w:cs="Times New Roman"/>
          <w:bCs/>
        </w:rPr>
        <w:footnoteReference w:id="16"/>
      </w:r>
      <w:r w:rsidRPr="0010176D">
        <w:rPr>
          <w:rFonts w:ascii="Times New Roman" w:hAnsi="Times New Roman" w:cs="Times New Roman"/>
          <w:bCs/>
        </w:rPr>
        <w:t xml:space="preserve"> Additionally, by mandating that commercial entities reimburse the DoD for all direct costs and allowing for reimbursement for indirect costs, this law took a major step in authorizing the U</w:t>
      </w:r>
      <w:r w:rsidR="004921DA" w:rsidRPr="0010176D">
        <w:rPr>
          <w:rFonts w:ascii="Times New Roman" w:hAnsi="Times New Roman" w:cs="Times New Roman"/>
          <w:bCs/>
        </w:rPr>
        <w:t>.S. Space Force</w:t>
      </w:r>
      <w:r w:rsidRPr="0010176D">
        <w:rPr>
          <w:rFonts w:ascii="Times New Roman" w:hAnsi="Times New Roman" w:cs="Times New Roman"/>
          <w:bCs/>
        </w:rPr>
        <w:t xml:space="preserve"> to expand cost recovery and infrastructure reinvestment for common use infrastructure such as base utilities and roads, effectively enabling range modernization and directly resulting in increased launch capacity. </w:t>
      </w:r>
    </w:p>
    <w:p w14:paraId="0F116F56" w14:textId="6D33D825" w:rsidR="00265E3B" w:rsidRPr="00265E3B" w:rsidRDefault="003865C4"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lastRenderedPageBreak/>
        <w:tab/>
      </w:r>
      <w:r w:rsidRPr="0010176D">
        <w:rPr>
          <w:rFonts w:ascii="Times New Roman" w:hAnsi="Times New Roman" w:cs="Times New Roman"/>
          <w:bCs/>
        </w:rPr>
        <w:tab/>
        <w:t>One way in which the DoD and FAA attempted to minimize the bureaucratic burden on U.S. commercial space launch activity was to reduce duplication in processes and approvals for activity at the Eastern and Western Ranges. The two organizations drafted and signed a Memorandum of Agreement on 14 May 2021, which “…applies to all launch and reentry activity licensed and regulated by the FAA Office of Commercial Space Transportation… that occurs on, originates from, or returns to the Department of the Air Force Cape Canaveral Space Force Station and Vandenberg Space Force Base.”</w:t>
      </w:r>
      <w:r w:rsidRPr="0010176D">
        <w:rPr>
          <w:rStyle w:val="FootnoteReference"/>
          <w:rFonts w:ascii="Times New Roman" w:hAnsi="Times New Roman" w:cs="Times New Roman"/>
          <w:bCs/>
        </w:rPr>
        <w:footnoteReference w:id="17"/>
      </w:r>
      <w:r w:rsidRPr="0010176D">
        <w:rPr>
          <w:rFonts w:ascii="Times New Roman" w:hAnsi="Times New Roman" w:cs="Times New Roman"/>
          <w:bCs/>
        </w:rPr>
        <w:t xml:space="preserve"> Reciprocity was a key feature of this agreement; the FAA will accept U.S. Space Force safety processes, analyses, and products, and the U.S. Space Force will accept FAA decisions and approvals for licensed missions. </w:t>
      </w:r>
      <w:r w:rsidR="00265E3B" w:rsidRPr="00265E3B">
        <w:rPr>
          <w:rFonts w:ascii="Times New Roman" w:hAnsi="Times New Roman" w:cs="Times New Roman"/>
          <w:bCs/>
        </w:rPr>
        <w:t xml:space="preserve">Taken together, Sections 2273 and 2276 marked a </w:t>
      </w:r>
      <w:r w:rsidR="001761F6">
        <w:rPr>
          <w:rFonts w:ascii="Times New Roman" w:hAnsi="Times New Roman" w:cs="Times New Roman"/>
          <w:bCs/>
        </w:rPr>
        <w:t>deliberate</w:t>
      </w:r>
      <w:r w:rsidR="00265E3B" w:rsidRPr="00265E3B">
        <w:rPr>
          <w:rFonts w:ascii="Times New Roman" w:hAnsi="Times New Roman" w:cs="Times New Roman"/>
          <w:bCs/>
        </w:rPr>
        <w:t xml:space="preserve"> shift in how the United States achieves assured access to space</w:t>
      </w:r>
      <w:r w:rsidR="00265E3B">
        <w:rPr>
          <w:rFonts w:ascii="Times New Roman" w:hAnsi="Times New Roman" w:cs="Times New Roman"/>
          <w:bCs/>
        </w:rPr>
        <w:t xml:space="preserve"> by </w:t>
      </w:r>
      <w:r w:rsidR="00265E3B" w:rsidRPr="00265E3B">
        <w:rPr>
          <w:rFonts w:ascii="Times New Roman" w:hAnsi="Times New Roman" w:cs="Times New Roman"/>
          <w:bCs/>
        </w:rPr>
        <w:t>moving from a government</w:t>
      </w:r>
      <w:r w:rsidR="00265E3B" w:rsidRPr="00265E3B">
        <w:rPr>
          <w:rFonts w:ascii="Times New Roman" w:hAnsi="Times New Roman" w:cs="Times New Roman"/>
          <w:bCs/>
        </w:rPr>
        <w:noBreakHyphen/>
        <w:t>owned, government</w:t>
      </w:r>
      <w:r w:rsidR="00265E3B" w:rsidRPr="00265E3B">
        <w:rPr>
          <w:rFonts w:ascii="Times New Roman" w:hAnsi="Times New Roman" w:cs="Times New Roman"/>
          <w:bCs/>
        </w:rPr>
        <w:noBreakHyphen/>
        <w:t>operated launch enterprise to a model in which the government enables scale, resilience, and competition by acting as a spaceport manager and strategic partner rather than a bottleneck</w:t>
      </w:r>
    </w:p>
    <w:p w14:paraId="15B81165" w14:textId="77777777" w:rsidR="00265E3B" w:rsidRDefault="00265E3B" w:rsidP="002F32CA">
      <w:pPr>
        <w:pStyle w:val="ListParagraph"/>
        <w:widowControl w:val="0"/>
        <w:tabs>
          <w:tab w:val="left" w:pos="270"/>
        </w:tabs>
        <w:autoSpaceDE w:val="0"/>
        <w:autoSpaceDN w:val="0"/>
        <w:spacing w:after="0" w:line="259" w:lineRule="auto"/>
        <w:ind w:left="0"/>
        <w:contextualSpacing w:val="0"/>
        <w:rPr>
          <w:rFonts w:ascii="Times New Roman" w:hAnsi="Times New Roman" w:cs="Times New Roman"/>
          <w:bCs/>
        </w:rPr>
      </w:pPr>
    </w:p>
    <w:p w14:paraId="2E801DA1" w14:textId="6946359B" w:rsidR="003865C4" w:rsidRPr="007931E5" w:rsidRDefault="00854FCB" w:rsidP="00350E78">
      <w:pPr>
        <w:pStyle w:val="Heading1"/>
        <w:spacing w:after="360"/>
        <w:rPr>
          <w:rFonts w:ascii="Times New Roman" w:hAnsi="Times New Roman" w:cs="Times New Roman"/>
          <w:b/>
          <w:bCs/>
          <w:color w:val="auto"/>
          <w:sz w:val="32"/>
          <w:szCs w:val="32"/>
        </w:rPr>
      </w:pPr>
      <w:bookmarkStart w:id="10" w:name="_Toc227163557"/>
      <w:r w:rsidRPr="007931E5">
        <w:rPr>
          <w:rFonts w:ascii="Times New Roman" w:hAnsi="Times New Roman" w:cs="Times New Roman"/>
          <w:b/>
          <w:bCs/>
          <w:color w:val="auto"/>
          <w:sz w:val="32"/>
          <w:szCs w:val="32"/>
        </w:rPr>
        <w:t>U.S. Space Force</w:t>
      </w:r>
      <w:r w:rsidR="003865C4" w:rsidRPr="007931E5">
        <w:rPr>
          <w:rFonts w:ascii="Times New Roman" w:hAnsi="Times New Roman" w:cs="Times New Roman"/>
          <w:b/>
          <w:bCs/>
          <w:color w:val="auto"/>
          <w:sz w:val="32"/>
          <w:szCs w:val="32"/>
        </w:rPr>
        <w:t xml:space="preserve"> </w:t>
      </w:r>
      <w:r w:rsidR="000F5043" w:rsidRPr="007931E5">
        <w:rPr>
          <w:rFonts w:ascii="Times New Roman" w:hAnsi="Times New Roman" w:cs="Times New Roman"/>
          <w:b/>
          <w:bCs/>
          <w:color w:val="auto"/>
          <w:sz w:val="32"/>
          <w:szCs w:val="32"/>
        </w:rPr>
        <w:t>Guidance and Direction</w:t>
      </w:r>
      <w:bookmarkEnd w:id="10"/>
    </w:p>
    <w:p w14:paraId="6FF45922" w14:textId="77777777" w:rsidR="00350E78" w:rsidRDefault="00350E78"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D46D52">
        <w:rPr>
          <w:rFonts w:ascii="Times New Roman" w:hAnsi="Times New Roman" w:cs="Times New Roman"/>
          <w:bCs/>
        </w:rPr>
        <w:t>D</w:t>
      </w:r>
      <w:r w:rsidR="007B0120">
        <w:rPr>
          <w:rFonts w:ascii="Times New Roman" w:hAnsi="Times New Roman" w:cs="Times New Roman"/>
          <w:bCs/>
        </w:rPr>
        <w:t xml:space="preserve">uring this </w:t>
      </w:r>
      <w:proofErr w:type="gramStart"/>
      <w:r w:rsidR="007B0120">
        <w:rPr>
          <w:rFonts w:ascii="Times New Roman" w:hAnsi="Times New Roman" w:cs="Times New Roman"/>
          <w:bCs/>
        </w:rPr>
        <w:t>time period</w:t>
      </w:r>
      <w:proofErr w:type="gramEnd"/>
      <w:r w:rsidR="007B0120">
        <w:rPr>
          <w:rFonts w:ascii="Times New Roman" w:hAnsi="Times New Roman" w:cs="Times New Roman"/>
          <w:bCs/>
        </w:rPr>
        <w:t>, t</w:t>
      </w:r>
      <w:r w:rsidR="003865C4" w:rsidRPr="0010176D">
        <w:rPr>
          <w:rFonts w:ascii="Times New Roman" w:hAnsi="Times New Roman" w:cs="Times New Roman"/>
          <w:bCs/>
        </w:rPr>
        <w:t xml:space="preserve">he U.S. Space Force </w:t>
      </w:r>
      <w:r w:rsidR="007B0120">
        <w:rPr>
          <w:rFonts w:ascii="Times New Roman" w:hAnsi="Times New Roman" w:cs="Times New Roman"/>
          <w:bCs/>
        </w:rPr>
        <w:t>also published</w:t>
      </w:r>
      <w:r w:rsidR="003865C4" w:rsidRPr="0010176D">
        <w:rPr>
          <w:rFonts w:ascii="Times New Roman" w:hAnsi="Times New Roman" w:cs="Times New Roman"/>
          <w:bCs/>
        </w:rPr>
        <w:t xml:space="preserve"> guidance for its acquisition and operational space launch communities </w:t>
      </w:r>
      <w:r w:rsidR="00D46D52">
        <w:rPr>
          <w:rFonts w:ascii="Times New Roman" w:hAnsi="Times New Roman" w:cs="Times New Roman"/>
          <w:bCs/>
        </w:rPr>
        <w:t>to</w:t>
      </w:r>
      <w:r w:rsidR="003865C4" w:rsidRPr="0010176D">
        <w:rPr>
          <w:rFonts w:ascii="Times New Roman" w:hAnsi="Times New Roman" w:cs="Times New Roman"/>
          <w:bCs/>
        </w:rPr>
        <w:t xml:space="preserve"> </w:t>
      </w:r>
      <w:r w:rsidR="00D46D52">
        <w:rPr>
          <w:rFonts w:ascii="Times New Roman" w:hAnsi="Times New Roman" w:cs="Times New Roman"/>
          <w:bCs/>
        </w:rPr>
        <w:t>support</w:t>
      </w:r>
      <w:r w:rsidR="003865C4" w:rsidRPr="0010176D">
        <w:rPr>
          <w:rFonts w:ascii="Times New Roman" w:hAnsi="Times New Roman" w:cs="Times New Roman"/>
          <w:bCs/>
        </w:rPr>
        <w:t xml:space="preserve"> an increased launch cadence while maintaining safety and competition.</w:t>
      </w:r>
      <w:r w:rsidR="00670490" w:rsidRPr="00670490">
        <w:rPr>
          <w:rFonts w:ascii="Times New Roman" w:hAnsi="Times New Roman" w:cs="Times New Roman"/>
          <w:bCs/>
        </w:rPr>
        <w:t xml:space="preserve"> </w:t>
      </w:r>
      <w:r w:rsidR="000850E7">
        <w:rPr>
          <w:rFonts w:ascii="Times New Roman" w:hAnsi="Times New Roman" w:cs="Times New Roman"/>
          <w:bCs/>
        </w:rPr>
        <w:t xml:space="preserve">In 2020, U.S. Space Force leadership formalized </w:t>
      </w:r>
      <w:r w:rsidR="000D4BCE">
        <w:rPr>
          <w:rFonts w:ascii="Times New Roman" w:hAnsi="Times New Roman" w:cs="Times New Roman"/>
          <w:bCs/>
        </w:rPr>
        <w:t>its</w:t>
      </w:r>
      <w:r w:rsidR="00670490" w:rsidRPr="00670490">
        <w:rPr>
          <w:rFonts w:ascii="Times New Roman" w:hAnsi="Times New Roman" w:cs="Times New Roman"/>
          <w:bCs/>
        </w:rPr>
        <w:t xml:space="preserve"> vision </w:t>
      </w:r>
      <w:r w:rsidR="000D4BCE">
        <w:rPr>
          <w:rFonts w:ascii="Times New Roman" w:hAnsi="Times New Roman" w:cs="Times New Roman"/>
          <w:bCs/>
        </w:rPr>
        <w:t>as</w:t>
      </w:r>
      <w:r w:rsidR="00670490" w:rsidRPr="00670490">
        <w:rPr>
          <w:rFonts w:ascii="Times New Roman" w:hAnsi="Times New Roman" w:cs="Times New Roman"/>
          <w:bCs/>
        </w:rPr>
        <w:t xml:space="preserve"> the </w:t>
      </w:r>
      <w:r w:rsidR="00551D9F">
        <w:rPr>
          <w:rFonts w:ascii="Times New Roman" w:hAnsi="Times New Roman" w:cs="Times New Roman"/>
          <w:bCs/>
        </w:rPr>
        <w:t>“</w:t>
      </w:r>
      <w:r w:rsidR="00670490" w:rsidRPr="00670490">
        <w:rPr>
          <w:rFonts w:ascii="Times New Roman" w:hAnsi="Times New Roman" w:cs="Times New Roman"/>
          <w:bCs/>
        </w:rPr>
        <w:t>Range of the Future 2028: Preserve and advance national security interests through globally competitive Ranges with capacity to support launch and test operations on demand."</w:t>
      </w:r>
      <w:r w:rsidR="00551D9F">
        <w:rPr>
          <w:rStyle w:val="FootnoteReference"/>
          <w:rFonts w:ascii="Times New Roman" w:hAnsi="Times New Roman" w:cs="Times New Roman"/>
          <w:bCs/>
        </w:rPr>
        <w:footnoteReference w:id="18"/>
      </w:r>
      <w:r w:rsidR="00670490" w:rsidRPr="00670490">
        <w:rPr>
          <w:rFonts w:ascii="Times New Roman" w:hAnsi="Times New Roman" w:cs="Times New Roman"/>
          <w:bCs/>
        </w:rPr>
        <w:t xml:space="preserve"> </w:t>
      </w:r>
      <w:r w:rsidR="00670490" w:rsidRPr="00670490">
        <w:rPr>
          <w:rFonts w:ascii="Times New Roman" w:hAnsi="Times New Roman" w:cs="Times New Roman"/>
          <w:bCs/>
        </w:rPr>
        <w:lastRenderedPageBreak/>
        <w:t xml:space="preserve">By evolving the Eastern and Western Ranges into modernized "National Spaceports," the </w:t>
      </w:r>
      <w:r w:rsidR="007F7BAC">
        <w:rPr>
          <w:rFonts w:ascii="Times New Roman" w:hAnsi="Times New Roman" w:cs="Times New Roman"/>
          <w:bCs/>
        </w:rPr>
        <w:t xml:space="preserve">U.S. </w:t>
      </w:r>
      <w:r w:rsidR="00670490" w:rsidRPr="00670490">
        <w:rPr>
          <w:rFonts w:ascii="Times New Roman" w:hAnsi="Times New Roman" w:cs="Times New Roman"/>
          <w:bCs/>
        </w:rPr>
        <w:t xml:space="preserve">Space Force </w:t>
      </w:r>
      <w:r w:rsidR="005A11F1">
        <w:rPr>
          <w:rFonts w:ascii="Times New Roman" w:hAnsi="Times New Roman" w:cs="Times New Roman"/>
          <w:bCs/>
        </w:rPr>
        <w:t xml:space="preserve">signaled its move </w:t>
      </w:r>
      <w:r w:rsidR="00670490" w:rsidRPr="00670490">
        <w:rPr>
          <w:rFonts w:ascii="Times New Roman" w:hAnsi="Times New Roman" w:cs="Times New Roman"/>
          <w:bCs/>
        </w:rPr>
        <w:t xml:space="preserve">toward a common, services-based architecture that leverages </w:t>
      </w:r>
      <w:r w:rsidR="007F7BAC">
        <w:rPr>
          <w:rFonts w:ascii="Times New Roman" w:hAnsi="Times New Roman" w:cs="Times New Roman"/>
          <w:bCs/>
        </w:rPr>
        <w:t xml:space="preserve">commercial innovation and leadership in </w:t>
      </w:r>
      <w:r w:rsidR="003C3817">
        <w:rPr>
          <w:rFonts w:ascii="Times New Roman" w:hAnsi="Times New Roman" w:cs="Times New Roman"/>
          <w:bCs/>
        </w:rPr>
        <w:t>launch capabilities</w:t>
      </w:r>
      <w:r w:rsidR="00670490" w:rsidRPr="00670490">
        <w:rPr>
          <w:rFonts w:ascii="Times New Roman" w:hAnsi="Times New Roman" w:cs="Times New Roman"/>
          <w:bCs/>
        </w:rPr>
        <w:t xml:space="preserve">. </w:t>
      </w:r>
      <w:r w:rsidR="00417F6B">
        <w:rPr>
          <w:rFonts w:ascii="Times New Roman" w:hAnsi="Times New Roman" w:cs="Times New Roman"/>
          <w:bCs/>
        </w:rPr>
        <w:t>In t</w:t>
      </w:r>
      <w:r w:rsidR="00670490" w:rsidRPr="00670490">
        <w:rPr>
          <w:rFonts w:ascii="Times New Roman" w:hAnsi="Times New Roman" w:cs="Times New Roman"/>
          <w:bCs/>
        </w:rPr>
        <w:t>his approach</w:t>
      </w:r>
      <w:r w:rsidR="00417F6B">
        <w:rPr>
          <w:rFonts w:ascii="Times New Roman" w:hAnsi="Times New Roman" w:cs="Times New Roman"/>
          <w:bCs/>
        </w:rPr>
        <w:t>,</w:t>
      </w:r>
      <w:r w:rsidR="00670490" w:rsidRPr="00670490">
        <w:rPr>
          <w:rFonts w:ascii="Times New Roman" w:hAnsi="Times New Roman" w:cs="Times New Roman"/>
          <w:bCs/>
        </w:rPr>
        <w:t xml:space="preserve"> commercial providers self-provision their own </w:t>
      </w:r>
      <w:r w:rsidR="003C3817">
        <w:rPr>
          <w:rFonts w:ascii="Times New Roman" w:hAnsi="Times New Roman" w:cs="Times New Roman"/>
          <w:bCs/>
        </w:rPr>
        <w:t xml:space="preserve">launch hardware, support infrastructure, and </w:t>
      </w:r>
      <w:r w:rsidR="00670490" w:rsidRPr="00670490">
        <w:rPr>
          <w:rFonts w:ascii="Times New Roman" w:hAnsi="Times New Roman" w:cs="Times New Roman"/>
          <w:bCs/>
        </w:rPr>
        <w:t xml:space="preserve">instrumentation while the government focuses on baseline </w:t>
      </w:r>
      <w:r w:rsidR="003C3817">
        <w:rPr>
          <w:rFonts w:ascii="Times New Roman" w:hAnsi="Times New Roman" w:cs="Times New Roman"/>
          <w:bCs/>
        </w:rPr>
        <w:t xml:space="preserve">and common </w:t>
      </w:r>
      <w:r w:rsidR="00670490" w:rsidRPr="00670490">
        <w:rPr>
          <w:rFonts w:ascii="Times New Roman" w:hAnsi="Times New Roman" w:cs="Times New Roman"/>
          <w:bCs/>
        </w:rPr>
        <w:t>essential functions. By streamlining access to resources and fostering public-private partnerships for infrastructure recapitalization, the</w:t>
      </w:r>
      <w:r w:rsidR="007F7BAC">
        <w:rPr>
          <w:rFonts w:ascii="Times New Roman" w:hAnsi="Times New Roman" w:cs="Times New Roman"/>
          <w:bCs/>
        </w:rPr>
        <w:t xml:space="preserve"> U.S.</w:t>
      </w:r>
      <w:r w:rsidR="00670490" w:rsidRPr="00670490">
        <w:rPr>
          <w:rFonts w:ascii="Times New Roman" w:hAnsi="Times New Roman" w:cs="Times New Roman"/>
          <w:bCs/>
        </w:rPr>
        <w:t xml:space="preserve"> Space Force aims to eliminate bureaucratic duplication and provide the agile, scalable throughput necessary to support the </w:t>
      </w:r>
      <w:r w:rsidR="007F7BAC">
        <w:rPr>
          <w:rFonts w:ascii="Times New Roman" w:hAnsi="Times New Roman" w:cs="Times New Roman"/>
          <w:bCs/>
        </w:rPr>
        <w:t>rapidly changing space launch environment.</w:t>
      </w:r>
    </w:p>
    <w:p w14:paraId="0E97678B" w14:textId="52808198" w:rsidR="00A251FA" w:rsidRPr="0010176D" w:rsidRDefault="00350E78"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3865C4" w:rsidRPr="0010176D">
        <w:rPr>
          <w:rFonts w:ascii="Times New Roman" w:hAnsi="Times New Roman" w:cs="Times New Roman"/>
          <w:bCs/>
        </w:rPr>
        <w:t>While applicable across a wider mission set for the U.S. Space Force, the U.S. Space Force’s Commercial Space Strategy outlines a plan to enhance national security and operational resilience by deliberately integrating commercial space solutions into a hybrid architecture alongside government and allied systems.</w:t>
      </w:r>
      <w:r w:rsidR="003865C4" w:rsidRPr="0010176D">
        <w:rPr>
          <w:rStyle w:val="FootnoteReference"/>
          <w:rFonts w:ascii="Times New Roman" w:hAnsi="Times New Roman" w:cs="Times New Roman"/>
          <w:bCs/>
        </w:rPr>
        <w:footnoteReference w:id="19"/>
      </w:r>
      <w:r w:rsidR="003865C4" w:rsidRPr="0010176D">
        <w:rPr>
          <w:rFonts w:ascii="Times New Roman" w:hAnsi="Times New Roman" w:cs="Times New Roman"/>
          <w:bCs/>
        </w:rPr>
        <w:t xml:space="preserve"> </w:t>
      </w:r>
      <w:r w:rsidR="0092226B" w:rsidRPr="0010176D">
        <w:rPr>
          <w:rFonts w:ascii="Times New Roman" w:hAnsi="Times New Roman" w:cs="Times New Roman"/>
          <w:bCs/>
        </w:rPr>
        <w:t xml:space="preserve">The </w:t>
      </w:r>
      <w:r w:rsidR="002A3C4E" w:rsidRPr="0010176D">
        <w:rPr>
          <w:rFonts w:ascii="Times New Roman" w:hAnsi="Times New Roman" w:cs="Times New Roman"/>
          <w:bCs/>
        </w:rPr>
        <w:t xml:space="preserve">Commercial Space Strategy’s </w:t>
      </w:r>
      <w:r w:rsidR="0092226B" w:rsidRPr="0010176D">
        <w:rPr>
          <w:rFonts w:ascii="Times New Roman" w:hAnsi="Times New Roman" w:cs="Times New Roman"/>
          <w:bCs/>
        </w:rPr>
        <w:t xml:space="preserve">key themes of </w:t>
      </w:r>
      <w:r w:rsidR="002A3C4E" w:rsidRPr="0010176D">
        <w:rPr>
          <w:rFonts w:ascii="Times New Roman" w:hAnsi="Times New Roman" w:cs="Times New Roman"/>
          <w:bCs/>
        </w:rPr>
        <w:t xml:space="preserve">balance, interoperability, resilience, and responsible conduct are </w:t>
      </w:r>
      <w:r w:rsidR="00130948" w:rsidRPr="0010176D">
        <w:rPr>
          <w:rFonts w:ascii="Times New Roman" w:hAnsi="Times New Roman" w:cs="Times New Roman"/>
          <w:bCs/>
        </w:rPr>
        <w:t xml:space="preserve">further detailed in its annex for space </w:t>
      </w:r>
      <w:r w:rsidR="00DD4B00" w:rsidRPr="0010176D">
        <w:rPr>
          <w:rFonts w:ascii="Times New Roman" w:hAnsi="Times New Roman" w:cs="Times New Roman"/>
          <w:bCs/>
        </w:rPr>
        <w:t>access</w:t>
      </w:r>
      <w:r w:rsidR="00130948" w:rsidRPr="0010176D">
        <w:rPr>
          <w:rFonts w:ascii="Times New Roman" w:hAnsi="Times New Roman" w:cs="Times New Roman"/>
          <w:bCs/>
        </w:rPr>
        <w:t xml:space="preserve">, titled </w:t>
      </w:r>
      <w:r w:rsidR="00DD4B00" w:rsidRPr="0010176D">
        <w:rPr>
          <w:rFonts w:ascii="Times New Roman" w:hAnsi="Times New Roman" w:cs="Times New Roman"/>
          <w:bCs/>
        </w:rPr>
        <w:t>“USSF Principles for Space Access Resourcing Decisions.”</w:t>
      </w:r>
      <w:r w:rsidR="00DD4B00" w:rsidRPr="0010176D">
        <w:rPr>
          <w:rStyle w:val="FootnoteReference"/>
          <w:rFonts w:ascii="Times New Roman" w:hAnsi="Times New Roman" w:cs="Times New Roman"/>
          <w:bCs/>
        </w:rPr>
        <w:footnoteReference w:id="20"/>
      </w:r>
      <w:r w:rsidR="000F5734" w:rsidRPr="0010176D">
        <w:rPr>
          <w:rFonts w:ascii="Times New Roman" w:hAnsi="Times New Roman" w:cs="Times New Roman"/>
          <w:bCs/>
        </w:rPr>
        <w:t xml:space="preserve"> </w:t>
      </w:r>
      <w:r w:rsidR="0072367E" w:rsidRPr="0010176D">
        <w:rPr>
          <w:rFonts w:ascii="Times New Roman" w:hAnsi="Times New Roman" w:cs="Times New Roman"/>
          <w:bCs/>
        </w:rPr>
        <w:t xml:space="preserve">Citing specific </w:t>
      </w:r>
      <w:r w:rsidR="00C04821" w:rsidRPr="0010176D">
        <w:rPr>
          <w:rFonts w:ascii="Times New Roman" w:hAnsi="Times New Roman" w:cs="Times New Roman"/>
          <w:bCs/>
        </w:rPr>
        <w:t xml:space="preserve">U.S. code, </w:t>
      </w:r>
      <w:r w:rsidR="0072367E" w:rsidRPr="0010176D">
        <w:rPr>
          <w:rFonts w:ascii="Times New Roman" w:hAnsi="Times New Roman" w:cs="Times New Roman"/>
          <w:bCs/>
        </w:rPr>
        <w:t>legislation,</w:t>
      </w:r>
      <w:r w:rsidR="00C0165D" w:rsidRPr="0010176D">
        <w:rPr>
          <w:rFonts w:ascii="Times New Roman" w:hAnsi="Times New Roman" w:cs="Times New Roman"/>
          <w:bCs/>
        </w:rPr>
        <w:t xml:space="preserve"> and</w:t>
      </w:r>
      <w:r w:rsidR="0072367E" w:rsidRPr="0010176D">
        <w:rPr>
          <w:rFonts w:ascii="Times New Roman" w:hAnsi="Times New Roman" w:cs="Times New Roman"/>
          <w:bCs/>
        </w:rPr>
        <w:t xml:space="preserve"> regulations</w:t>
      </w:r>
      <w:r w:rsidR="00C0165D" w:rsidRPr="0010176D">
        <w:rPr>
          <w:rFonts w:ascii="Times New Roman" w:hAnsi="Times New Roman" w:cs="Times New Roman"/>
          <w:bCs/>
        </w:rPr>
        <w:t xml:space="preserve">, the </w:t>
      </w:r>
      <w:r w:rsidR="002627BA" w:rsidRPr="0010176D">
        <w:rPr>
          <w:rFonts w:ascii="Times New Roman" w:hAnsi="Times New Roman" w:cs="Times New Roman"/>
          <w:bCs/>
        </w:rPr>
        <w:t xml:space="preserve">document uses </w:t>
      </w:r>
      <w:r w:rsidR="00690379" w:rsidRPr="0010176D">
        <w:rPr>
          <w:rFonts w:ascii="Times New Roman" w:hAnsi="Times New Roman" w:cs="Times New Roman"/>
          <w:bCs/>
        </w:rPr>
        <w:t xml:space="preserve">nine principles to </w:t>
      </w:r>
      <w:r w:rsidR="002627BA" w:rsidRPr="0010176D">
        <w:rPr>
          <w:rFonts w:ascii="Times New Roman" w:hAnsi="Times New Roman" w:cs="Times New Roman"/>
          <w:bCs/>
        </w:rPr>
        <w:t>outline how the U.S. Space Force will prioritize</w:t>
      </w:r>
      <w:r w:rsidR="00690379" w:rsidRPr="0010176D">
        <w:rPr>
          <w:rFonts w:ascii="Times New Roman" w:hAnsi="Times New Roman" w:cs="Times New Roman"/>
          <w:bCs/>
        </w:rPr>
        <w:t xml:space="preserve"> resources as it provides assured access to space. </w:t>
      </w:r>
      <w:r w:rsidR="00720AC7" w:rsidRPr="0010176D">
        <w:rPr>
          <w:rFonts w:ascii="Times New Roman" w:hAnsi="Times New Roman" w:cs="Times New Roman"/>
          <w:bCs/>
        </w:rPr>
        <w:t xml:space="preserve">Most importantly, these nine principles </w:t>
      </w:r>
      <w:r w:rsidR="006535F1" w:rsidRPr="0010176D">
        <w:rPr>
          <w:rFonts w:ascii="Times New Roman" w:hAnsi="Times New Roman" w:cs="Times New Roman"/>
          <w:bCs/>
        </w:rPr>
        <w:t>represent</w:t>
      </w:r>
      <w:r w:rsidR="007D5E1E" w:rsidRPr="0010176D">
        <w:rPr>
          <w:rFonts w:ascii="Times New Roman" w:hAnsi="Times New Roman" w:cs="Times New Roman"/>
          <w:bCs/>
        </w:rPr>
        <w:t xml:space="preserve"> </w:t>
      </w:r>
      <w:r w:rsidR="006535F1" w:rsidRPr="0010176D">
        <w:rPr>
          <w:rFonts w:ascii="Times New Roman" w:hAnsi="Times New Roman" w:cs="Times New Roman"/>
          <w:bCs/>
        </w:rPr>
        <w:t xml:space="preserve">a </w:t>
      </w:r>
      <w:r w:rsidR="007D5E1E" w:rsidRPr="0010176D">
        <w:rPr>
          <w:rFonts w:ascii="Times New Roman" w:hAnsi="Times New Roman" w:cs="Times New Roman"/>
          <w:bCs/>
        </w:rPr>
        <w:t xml:space="preserve">culmination of </w:t>
      </w:r>
      <w:r w:rsidR="00BD7EF7" w:rsidRPr="0010176D">
        <w:rPr>
          <w:rFonts w:ascii="Times New Roman" w:hAnsi="Times New Roman" w:cs="Times New Roman"/>
          <w:bCs/>
        </w:rPr>
        <w:t xml:space="preserve">decades of </w:t>
      </w:r>
      <w:r w:rsidR="004B5EA4" w:rsidRPr="0010176D">
        <w:rPr>
          <w:rFonts w:ascii="Times New Roman" w:hAnsi="Times New Roman" w:cs="Times New Roman"/>
          <w:bCs/>
        </w:rPr>
        <w:t>evolving</w:t>
      </w:r>
      <w:r w:rsidR="00BD7EF7" w:rsidRPr="0010176D">
        <w:rPr>
          <w:rFonts w:ascii="Times New Roman" w:hAnsi="Times New Roman" w:cs="Times New Roman"/>
          <w:bCs/>
        </w:rPr>
        <w:t xml:space="preserve"> legislation and regulation </w:t>
      </w:r>
      <w:r w:rsidR="006535F1" w:rsidRPr="0010176D">
        <w:rPr>
          <w:rFonts w:ascii="Times New Roman" w:hAnsi="Times New Roman" w:cs="Times New Roman"/>
          <w:bCs/>
        </w:rPr>
        <w:t>s</w:t>
      </w:r>
      <w:r w:rsidR="006C38F4" w:rsidRPr="0010176D">
        <w:rPr>
          <w:rFonts w:ascii="Times New Roman" w:hAnsi="Times New Roman" w:cs="Times New Roman"/>
          <w:bCs/>
        </w:rPr>
        <w:t>how</w:t>
      </w:r>
      <w:r w:rsidR="006535F1" w:rsidRPr="0010176D">
        <w:rPr>
          <w:rFonts w:ascii="Times New Roman" w:hAnsi="Times New Roman" w:cs="Times New Roman"/>
          <w:bCs/>
        </w:rPr>
        <w:t>ing</w:t>
      </w:r>
      <w:r w:rsidR="006C38F4" w:rsidRPr="0010176D">
        <w:rPr>
          <w:rFonts w:ascii="Times New Roman" w:hAnsi="Times New Roman" w:cs="Times New Roman"/>
          <w:bCs/>
        </w:rPr>
        <w:t xml:space="preserve"> how the Space Force has</w:t>
      </w:r>
      <w:r w:rsidR="00965DC6" w:rsidRPr="0010176D">
        <w:rPr>
          <w:rFonts w:ascii="Times New Roman" w:hAnsi="Times New Roman" w:cs="Times New Roman"/>
          <w:bCs/>
        </w:rPr>
        <w:t xml:space="preserve"> responded to</w:t>
      </w:r>
      <w:r w:rsidR="006C38F4" w:rsidRPr="0010176D">
        <w:rPr>
          <w:rFonts w:ascii="Times New Roman" w:hAnsi="Times New Roman" w:cs="Times New Roman"/>
          <w:bCs/>
        </w:rPr>
        <w:t xml:space="preserve"> </w:t>
      </w:r>
      <w:r w:rsidR="00965DC6" w:rsidRPr="0010176D">
        <w:rPr>
          <w:rFonts w:ascii="Times New Roman" w:hAnsi="Times New Roman" w:cs="Times New Roman"/>
          <w:bCs/>
        </w:rPr>
        <w:t xml:space="preserve">and </w:t>
      </w:r>
      <w:r w:rsidR="006C38F4" w:rsidRPr="0010176D">
        <w:rPr>
          <w:rFonts w:ascii="Times New Roman" w:hAnsi="Times New Roman" w:cs="Times New Roman"/>
          <w:bCs/>
        </w:rPr>
        <w:t>adapted</w:t>
      </w:r>
      <w:r w:rsidR="00C91177" w:rsidRPr="0010176D">
        <w:rPr>
          <w:rFonts w:ascii="Times New Roman" w:hAnsi="Times New Roman" w:cs="Times New Roman"/>
          <w:bCs/>
        </w:rPr>
        <w:t xml:space="preserve"> to the rapid acceleration of space launch cadence. The principles are summarized </w:t>
      </w:r>
      <w:r w:rsidR="00203467">
        <w:rPr>
          <w:rFonts w:ascii="Times New Roman" w:hAnsi="Times New Roman" w:cs="Times New Roman"/>
          <w:bCs/>
        </w:rPr>
        <w:t xml:space="preserve">in the table </w:t>
      </w:r>
      <w:r w:rsidR="00C91177" w:rsidRPr="0010176D">
        <w:rPr>
          <w:rFonts w:ascii="Times New Roman" w:hAnsi="Times New Roman" w:cs="Times New Roman"/>
          <w:bCs/>
        </w:rPr>
        <w:t xml:space="preserve">below. </w:t>
      </w:r>
    </w:p>
    <w:p w14:paraId="7CD694E1" w14:textId="77777777" w:rsidR="0010176D" w:rsidRDefault="0010176D" w:rsidP="00350E78">
      <w:pPr>
        <w:spacing w:after="0" w:line="48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1908F464" w14:textId="00BEA281" w:rsidR="00A251FA" w:rsidRPr="00350E78" w:rsidRDefault="00A251FA" w:rsidP="00A251FA">
      <w:pPr>
        <w:pStyle w:val="ListParagraph"/>
        <w:widowControl w:val="0"/>
        <w:tabs>
          <w:tab w:val="left" w:pos="270"/>
        </w:tabs>
        <w:autoSpaceDE w:val="0"/>
        <w:autoSpaceDN w:val="0"/>
        <w:spacing w:after="0" w:line="259" w:lineRule="auto"/>
        <w:ind w:left="0"/>
        <w:contextualSpacing w:val="0"/>
        <w:rPr>
          <w:rFonts w:ascii="Times New Roman" w:eastAsia="Times New Roman" w:hAnsi="Times New Roman" w:cs="Times New Roman"/>
          <w:kern w:val="0"/>
          <w14:ligatures w14:val="none"/>
        </w:rPr>
      </w:pPr>
      <w:r w:rsidRPr="00350E78">
        <w:rPr>
          <w:rFonts w:ascii="Times New Roman" w:eastAsia="Times New Roman" w:hAnsi="Times New Roman" w:cs="Times New Roman"/>
          <w:kern w:val="0"/>
          <w14:ligatures w14:val="none"/>
        </w:rPr>
        <w:lastRenderedPageBreak/>
        <w:t>Table 1: U</w:t>
      </w:r>
      <w:r w:rsidR="00201D44" w:rsidRPr="00350E78">
        <w:rPr>
          <w:rFonts w:ascii="Times New Roman" w:eastAsia="Times New Roman" w:hAnsi="Times New Roman" w:cs="Times New Roman"/>
          <w:kern w:val="0"/>
          <w14:ligatures w14:val="none"/>
        </w:rPr>
        <w:t>.S. Space Force</w:t>
      </w:r>
      <w:r w:rsidRPr="00350E78">
        <w:rPr>
          <w:rFonts w:ascii="Times New Roman" w:eastAsia="Times New Roman" w:hAnsi="Times New Roman" w:cs="Times New Roman"/>
          <w:kern w:val="0"/>
          <w14:ligatures w14:val="none"/>
        </w:rPr>
        <w:t xml:space="preserve"> Principles for Space Access</w:t>
      </w:r>
    </w:p>
    <w:tbl>
      <w:tblPr>
        <w:tblW w:w="9540" w:type="dxa"/>
        <w:tblCellSpacing w:w="15" w:type="dxa"/>
        <w:tblInd w:w="-98" w:type="dxa"/>
        <w:tblCellMar>
          <w:top w:w="15" w:type="dxa"/>
          <w:left w:w="15" w:type="dxa"/>
          <w:bottom w:w="15" w:type="dxa"/>
          <w:right w:w="15" w:type="dxa"/>
        </w:tblCellMar>
        <w:tblLook w:val="04A0" w:firstRow="1" w:lastRow="0" w:firstColumn="1" w:lastColumn="0" w:noHBand="0" w:noVBand="1"/>
      </w:tblPr>
      <w:tblGrid>
        <w:gridCol w:w="2520"/>
        <w:gridCol w:w="7020"/>
      </w:tblGrid>
      <w:tr w:rsidR="001A4693" w:rsidRPr="00DF7FE2" w14:paraId="55781720" w14:textId="77777777" w:rsidTr="00934645">
        <w:trPr>
          <w:tblHeader/>
          <w:tblCellSpacing w:w="15" w:type="dxa"/>
        </w:trPr>
        <w:tc>
          <w:tcPr>
            <w:tcW w:w="2475" w:type="dxa"/>
            <w:tcBorders>
              <w:top w:val="single" w:sz="6" w:space="0" w:color="auto"/>
              <w:left w:val="single" w:sz="6" w:space="0" w:color="auto"/>
              <w:bottom w:val="single" w:sz="6" w:space="0" w:color="auto"/>
              <w:right w:val="single" w:sz="6" w:space="0" w:color="auto"/>
            </w:tcBorders>
            <w:vAlign w:val="center"/>
            <w:hideMark/>
          </w:tcPr>
          <w:p w14:paraId="07946497" w14:textId="77777777"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b/>
                <w:bCs/>
                <w:kern w:val="0"/>
                <w:sz w:val="20"/>
                <w:szCs w:val="20"/>
                <w14:ligatures w14:val="none"/>
              </w:rPr>
              <w:t>Principle</w:t>
            </w:r>
          </w:p>
        </w:tc>
        <w:tc>
          <w:tcPr>
            <w:tcW w:w="6975" w:type="dxa"/>
            <w:tcBorders>
              <w:top w:val="single" w:sz="6" w:space="0" w:color="auto"/>
              <w:left w:val="single" w:sz="6" w:space="0" w:color="auto"/>
              <w:bottom w:val="single" w:sz="6" w:space="0" w:color="auto"/>
              <w:right w:val="single" w:sz="6" w:space="0" w:color="auto"/>
            </w:tcBorders>
            <w:vAlign w:val="center"/>
            <w:hideMark/>
          </w:tcPr>
          <w:p w14:paraId="62E3BA89" w14:textId="4CD2659F"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b/>
                <w:bCs/>
                <w:kern w:val="0"/>
                <w:sz w:val="20"/>
                <w:szCs w:val="20"/>
                <w14:ligatures w14:val="none"/>
              </w:rPr>
              <w:t xml:space="preserve">Description </w:t>
            </w:r>
            <w:r w:rsidRPr="00DF7FE2">
              <w:rPr>
                <w:rFonts w:ascii="Times New Roman" w:eastAsia="Times New Roman" w:hAnsi="Times New Roman" w:cs="Times New Roman"/>
                <w:b/>
                <w:bCs/>
                <w:kern w:val="0"/>
                <w:sz w:val="20"/>
                <w:szCs w:val="20"/>
                <w14:ligatures w14:val="none"/>
              </w:rPr>
              <w:t>and</w:t>
            </w:r>
            <w:r w:rsidRPr="00A251FA">
              <w:rPr>
                <w:rFonts w:ascii="Times New Roman" w:eastAsia="Times New Roman" w:hAnsi="Times New Roman" w:cs="Times New Roman"/>
                <w:b/>
                <w:bCs/>
                <w:kern w:val="0"/>
                <w:sz w:val="20"/>
                <w:szCs w:val="20"/>
                <w14:ligatures w14:val="none"/>
              </w:rPr>
              <w:t xml:space="preserve"> Strategic Focus</w:t>
            </w:r>
          </w:p>
        </w:tc>
      </w:tr>
      <w:tr w:rsidR="001A4693" w:rsidRPr="00DF7FE2" w14:paraId="6CB75DD5" w14:textId="77777777" w:rsidTr="00934645">
        <w:trPr>
          <w:tblCellSpacing w:w="15" w:type="dxa"/>
        </w:trPr>
        <w:tc>
          <w:tcPr>
            <w:tcW w:w="2475" w:type="dxa"/>
            <w:tcBorders>
              <w:top w:val="single" w:sz="6" w:space="0" w:color="auto"/>
              <w:left w:val="single" w:sz="6" w:space="0" w:color="auto"/>
              <w:bottom w:val="single" w:sz="6" w:space="0" w:color="auto"/>
              <w:right w:val="single" w:sz="6" w:space="0" w:color="auto"/>
            </w:tcBorders>
            <w:vAlign w:val="center"/>
            <w:hideMark/>
          </w:tcPr>
          <w:p w14:paraId="7B1BFC0A" w14:textId="3B4D83D3"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b/>
                <w:bCs/>
                <w:kern w:val="0"/>
                <w:sz w:val="20"/>
                <w:szCs w:val="20"/>
                <w14:ligatures w14:val="none"/>
              </w:rPr>
              <w:t>1. Assure</w:t>
            </w:r>
            <w:r w:rsidR="00E2264D" w:rsidRPr="00DF7FE2">
              <w:rPr>
                <w:rFonts w:ascii="Times New Roman" w:eastAsia="Times New Roman" w:hAnsi="Times New Roman" w:cs="Times New Roman"/>
                <w:b/>
                <w:bCs/>
                <w:kern w:val="0"/>
                <w:sz w:val="20"/>
                <w:szCs w:val="20"/>
                <w14:ligatures w14:val="none"/>
              </w:rPr>
              <w:t xml:space="preserve"> </w:t>
            </w:r>
            <w:r w:rsidR="00DF7FE2" w:rsidRPr="00DF7FE2">
              <w:rPr>
                <w:rFonts w:ascii="Times New Roman" w:eastAsia="Times New Roman" w:hAnsi="Times New Roman" w:cs="Times New Roman"/>
                <w:b/>
                <w:bCs/>
                <w:kern w:val="0"/>
                <w:sz w:val="20"/>
                <w:szCs w:val="20"/>
                <w14:ligatures w14:val="none"/>
              </w:rPr>
              <w:t>s</w:t>
            </w:r>
            <w:r w:rsidR="00E2264D" w:rsidRPr="00DF7FE2">
              <w:rPr>
                <w:rFonts w:ascii="Times New Roman" w:eastAsia="Times New Roman" w:hAnsi="Times New Roman" w:cs="Times New Roman"/>
                <w:b/>
                <w:bCs/>
                <w:kern w:val="0"/>
                <w:sz w:val="20"/>
                <w:szCs w:val="20"/>
                <w14:ligatures w14:val="none"/>
              </w:rPr>
              <w:t xml:space="preserve">pace </w:t>
            </w:r>
            <w:r w:rsidR="00DF7FE2" w:rsidRPr="00DF7FE2">
              <w:rPr>
                <w:rFonts w:ascii="Times New Roman" w:eastAsia="Times New Roman" w:hAnsi="Times New Roman" w:cs="Times New Roman"/>
                <w:b/>
                <w:bCs/>
                <w:kern w:val="0"/>
                <w:sz w:val="20"/>
                <w:szCs w:val="20"/>
                <w14:ligatures w14:val="none"/>
              </w:rPr>
              <w:t>a</w:t>
            </w:r>
            <w:r w:rsidR="00E2264D" w:rsidRPr="00DF7FE2">
              <w:rPr>
                <w:rFonts w:ascii="Times New Roman" w:eastAsia="Times New Roman" w:hAnsi="Times New Roman" w:cs="Times New Roman"/>
                <w:b/>
                <w:bCs/>
                <w:kern w:val="0"/>
                <w:sz w:val="20"/>
                <w:szCs w:val="20"/>
                <w14:ligatures w14:val="none"/>
              </w:rPr>
              <w:t>ccess for</w:t>
            </w:r>
            <w:r w:rsidRPr="00A251FA">
              <w:rPr>
                <w:rFonts w:ascii="Times New Roman" w:eastAsia="Times New Roman" w:hAnsi="Times New Roman" w:cs="Times New Roman"/>
                <w:b/>
                <w:bCs/>
                <w:kern w:val="0"/>
                <w:sz w:val="20"/>
                <w:szCs w:val="20"/>
                <w14:ligatures w14:val="none"/>
              </w:rPr>
              <w:t xml:space="preserve"> </w:t>
            </w:r>
            <w:r w:rsidR="00DF7FE2" w:rsidRPr="00DF7FE2">
              <w:rPr>
                <w:rFonts w:ascii="Times New Roman" w:eastAsia="Times New Roman" w:hAnsi="Times New Roman" w:cs="Times New Roman"/>
                <w:b/>
                <w:bCs/>
                <w:kern w:val="0"/>
                <w:sz w:val="20"/>
                <w:szCs w:val="20"/>
                <w14:ligatures w14:val="none"/>
              </w:rPr>
              <w:t>n</w:t>
            </w:r>
            <w:r w:rsidRPr="00A251FA">
              <w:rPr>
                <w:rFonts w:ascii="Times New Roman" w:eastAsia="Times New Roman" w:hAnsi="Times New Roman" w:cs="Times New Roman"/>
                <w:b/>
                <w:bCs/>
                <w:kern w:val="0"/>
                <w:sz w:val="20"/>
                <w:szCs w:val="20"/>
                <w14:ligatures w14:val="none"/>
              </w:rPr>
              <w:t xml:space="preserve">ational </w:t>
            </w:r>
            <w:r w:rsidR="00DF7FE2" w:rsidRPr="00DF7FE2">
              <w:rPr>
                <w:rFonts w:ascii="Times New Roman" w:eastAsia="Times New Roman" w:hAnsi="Times New Roman" w:cs="Times New Roman"/>
                <w:b/>
                <w:bCs/>
                <w:kern w:val="0"/>
                <w:sz w:val="20"/>
                <w:szCs w:val="20"/>
                <w14:ligatures w14:val="none"/>
              </w:rPr>
              <w:t>s</w:t>
            </w:r>
            <w:r w:rsidRPr="00A251FA">
              <w:rPr>
                <w:rFonts w:ascii="Times New Roman" w:eastAsia="Times New Roman" w:hAnsi="Times New Roman" w:cs="Times New Roman"/>
                <w:b/>
                <w:bCs/>
                <w:kern w:val="0"/>
                <w:sz w:val="20"/>
                <w:szCs w:val="20"/>
                <w14:ligatures w14:val="none"/>
              </w:rPr>
              <w:t>ecurity</w:t>
            </w:r>
          </w:p>
        </w:tc>
        <w:tc>
          <w:tcPr>
            <w:tcW w:w="6975" w:type="dxa"/>
            <w:tcBorders>
              <w:top w:val="single" w:sz="6" w:space="0" w:color="auto"/>
              <w:left w:val="single" w:sz="6" w:space="0" w:color="auto"/>
              <w:bottom w:val="single" w:sz="6" w:space="0" w:color="auto"/>
              <w:right w:val="single" w:sz="6" w:space="0" w:color="auto"/>
            </w:tcBorders>
            <w:vAlign w:val="center"/>
            <w:hideMark/>
          </w:tcPr>
          <w:p w14:paraId="7BA10E87" w14:textId="27229185" w:rsidR="00A251FA" w:rsidRPr="00A251FA" w:rsidRDefault="009860A7" w:rsidP="00A251FA">
            <w:pPr>
              <w:spacing w:after="0" w:line="240" w:lineRule="auto"/>
              <w:rPr>
                <w:rFonts w:ascii="Times New Roman" w:eastAsia="Times New Roman" w:hAnsi="Times New Roman" w:cs="Times New Roman"/>
                <w:kern w:val="0"/>
                <w:sz w:val="20"/>
                <w:szCs w:val="20"/>
                <w14:ligatures w14:val="none"/>
              </w:rPr>
            </w:pPr>
            <w:r w:rsidRPr="00DF7FE2">
              <w:rPr>
                <w:rFonts w:ascii="Times New Roman" w:eastAsia="Times New Roman" w:hAnsi="Times New Roman" w:cs="Times New Roman"/>
                <w:kern w:val="0"/>
                <w:sz w:val="20"/>
                <w:szCs w:val="20"/>
                <w14:ligatures w14:val="none"/>
              </w:rPr>
              <w:t>T</w:t>
            </w:r>
            <w:r w:rsidR="00E2264D" w:rsidRPr="00DF7FE2">
              <w:rPr>
                <w:rFonts w:ascii="Times New Roman" w:eastAsia="Times New Roman" w:hAnsi="Times New Roman" w:cs="Times New Roman"/>
                <w:kern w:val="0"/>
                <w:sz w:val="20"/>
                <w:szCs w:val="20"/>
                <w14:ligatures w14:val="none"/>
              </w:rPr>
              <w:t xml:space="preserve">he U.S. Space Force is committed to </w:t>
            </w:r>
            <w:r w:rsidR="001A4693" w:rsidRPr="00DF7FE2">
              <w:rPr>
                <w:rFonts w:ascii="Times New Roman" w:eastAsia="Times New Roman" w:hAnsi="Times New Roman" w:cs="Times New Roman"/>
                <w:kern w:val="0"/>
                <w:sz w:val="20"/>
                <w:szCs w:val="20"/>
                <w14:ligatures w14:val="none"/>
              </w:rPr>
              <w:t xml:space="preserve">supporting the space access industry </w:t>
            </w:r>
            <w:r w:rsidR="00BB3B7F">
              <w:rPr>
                <w:rFonts w:ascii="Times New Roman" w:eastAsia="Times New Roman" w:hAnsi="Times New Roman" w:cs="Times New Roman"/>
                <w:kern w:val="0"/>
                <w:sz w:val="20"/>
                <w:szCs w:val="20"/>
                <w14:ligatures w14:val="none"/>
              </w:rPr>
              <w:t>“</w:t>
            </w:r>
            <w:r w:rsidR="001A4693" w:rsidRPr="00DF7FE2">
              <w:rPr>
                <w:rFonts w:ascii="Times New Roman" w:eastAsia="Times New Roman" w:hAnsi="Times New Roman" w:cs="Times New Roman"/>
                <w:kern w:val="0"/>
                <w:sz w:val="20"/>
                <w:szCs w:val="20"/>
                <w14:ligatures w14:val="none"/>
              </w:rPr>
              <w:t>to the maximum extent practicable”</w:t>
            </w:r>
            <w:r w:rsidR="00BB3B7F">
              <w:rPr>
                <w:rFonts w:ascii="Times New Roman" w:eastAsia="Times New Roman" w:hAnsi="Times New Roman" w:cs="Times New Roman"/>
                <w:kern w:val="0"/>
                <w:sz w:val="20"/>
                <w:szCs w:val="20"/>
                <w14:ligatures w14:val="none"/>
              </w:rPr>
              <w:t xml:space="preserve"> (</w:t>
            </w:r>
            <w:r w:rsidR="00BB3B7F" w:rsidRPr="00BB3B7F">
              <w:rPr>
                <w:rFonts w:ascii="Times New Roman" w:eastAsia="Times New Roman" w:hAnsi="Times New Roman" w:cs="Times New Roman"/>
                <w:kern w:val="0"/>
                <w:sz w:val="20"/>
                <w:szCs w:val="20"/>
                <w14:ligatures w14:val="none"/>
              </w:rPr>
              <w:t>10 U.S.C. § 2273</w:t>
            </w:r>
            <w:r w:rsidR="00BB3B7F">
              <w:rPr>
                <w:rFonts w:ascii="Times New Roman" w:eastAsia="Times New Roman" w:hAnsi="Times New Roman" w:cs="Times New Roman"/>
                <w:kern w:val="0"/>
                <w:sz w:val="20"/>
                <w:szCs w:val="20"/>
                <w14:ligatures w14:val="none"/>
              </w:rPr>
              <w:t>).</w:t>
            </w:r>
            <w:r w:rsidR="00A251FA" w:rsidRPr="00A251FA">
              <w:rPr>
                <w:rFonts w:ascii="Times New Roman" w:eastAsia="Times New Roman" w:hAnsi="Times New Roman" w:cs="Times New Roman"/>
                <w:kern w:val="0"/>
                <w:sz w:val="20"/>
                <w:szCs w:val="20"/>
                <w14:ligatures w14:val="none"/>
              </w:rPr>
              <w:t xml:space="preserve"> If resources (like pads or personnel) are limited, </w:t>
            </w:r>
            <w:r w:rsidR="001A4693" w:rsidRPr="00DF7FE2">
              <w:rPr>
                <w:rFonts w:ascii="Times New Roman" w:eastAsia="Times New Roman" w:hAnsi="Times New Roman" w:cs="Times New Roman"/>
                <w:kern w:val="0"/>
                <w:sz w:val="20"/>
                <w:szCs w:val="20"/>
                <w14:ligatures w14:val="none"/>
              </w:rPr>
              <w:t>the U.S. Space Force will prioritize meeting national security requirements over</w:t>
            </w:r>
            <w:r w:rsidR="00A251FA" w:rsidRPr="00A251FA">
              <w:rPr>
                <w:rFonts w:ascii="Times New Roman" w:eastAsia="Times New Roman" w:hAnsi="Times New Roman" w:cs="Times New Roman"/>
                <w:kern w:val="0"/>
                <w:sz w:val="20"/>
                <w:szCs w:val="20"/>
                <w14:ligatures w14:val="none"/>
              </w:rPr>
              <w:t xml:space="preserve"> commercial or civil requests.</w:t>
            </w:r>
          </w:p>
        </w:tc>
      </w:tr>
      <w:tr w:rsidR="001A4693" w:rsidRPr="00DF7FE2" w14:paraId="3085F5A8" w14:textId="77777777" w:rsidTr="00934645">
        <w:trPr>
          <w:tblCellSpacing w:w="15" w:type="dxa"/>
        </w:trPr>
        <w:tc>
          <w:tcPr>
            <w:tcW w:w="2475" w:type="dxa"/>
            <w:tcBorders>
              <w:top w:val="single" w:sz="6" w:space="0" w:color="auto"/>
              <w:left w:val="single" w:sz="6" w:space="0" w:color="auto"/>
              <w:bottom w:val="single" w:sz="6" w:space="0" w:color="auto"/>
              <w:right w:val="single" w:sz="6" w:space="0" w:color="auto"/>
            </w:tcBorders>
            <w:vAlign w:val="center"/>
            <w:hideMark/>
          </w:tcPr>
          <w:p w14:paraId="519799E8" w14:textId="6B38E44C"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b/>
                <w:bCs/>
                <w:kern w:val="0"/>
                <w:sz w:val="20"/>
                <w:szCs w:val="20"/>
                <w14:ligatures w14:val="none"/>
              </w:rPr>
              <w:t>2. Foster</w:t>
            </w:r>
            <w:r w:rsidR="00DF7FE2" w:rsidRPr="00DF7FE2">
              <w:rPr>
                <w:rFonts w:ascii="Times New Roman" w:eastAsia="Times New Roman" w:hAnsi="Times New Roman" w:cs="Times New Roman"/>
                <w:b/>
                <w:bCs/>
                <w:kern w:val="0"/>
                <w:sz w:val="20"/>
                <w:szCs w:val="20"/>
                <w14:ligatures w14:val="none"/>
              </w:rPr>
              <w:t xml:space="preserve"> a robust, innovative, and competitive  </w:t>
            </w:r>
            <w:r w:rsidRPr="00A251FA">
              <w:rPr>
                <w:rFonts w:ascii="Times New Roman" w:eastAsia="Times New Roman" w:hAnsi="Times New Roman" w:cs="Times New Roman"/>
                <w:b/>
                <w:bCs/>
                <w:kern w:val="0"/>
                <w:sz w:val="20"/>
                <w:szCs w:val="20"/>
                <w14:ligatures w14:val="none"/>
              </w:rPr>
              <w:t xml:space="preserve"> </w:t>
            </w:r>
            <w:r w:rsidR="00DF7FE2" w:rsidRPr="00DF7FE2">
              <w:rPr>
                <w:rFonts w:ascii="Times New Roman" w:eastAsia="Times New Roman" w:hAnsi="Times New Roman" w:cs="Times New Roman"/>
                <w:b/>
                <w:bCs/>
                <w:kern w:val="0"/>
                <w:sz w:val="20"/>
                <w:szCs w:val="20"/>
                <w14:ligatures w14:val="none"/>
              </w:rPr>
              <w:t>commercial space access industry</w:t>
            </w:r>
          </w:p>
        </w:tc>
        <w:tc>
          <w:tcPr>
            <w:tcW w:w="6975" w:type="dxa"/>
            <w:tcBorders>
              <w:top w:val="single" w:sz="6" w:space="0" w:color="auto"/>
              <w:left w:val="single" w:sz="6" w:space="0" w:color="auto"/>
              <w:bottom w:val="single" w:sz="6" w:space="0" w:color="auto"/>
              <w:right w:val="single" w:sz="6" w:space="0" w:color="auto"/>
            </w:tcBorders>
            <w:vAlign w:val="center"/>
            <w:hideMark/>
          </w:tcPr>
          <w:p w14:paraId="3FF837EA" w14:textId="0A6542E2" w:rsidR="00A251FA" w:rsidRPr="00A251FA" w:rsidRDefault="002500DF" w:rsidP="00A251FA">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A robust industrial base benefits national security. </w:t>
            </w:r>
            <w:r w:rsidR="00A251FA" w:rsidRPr="00A251FA">
              <w:rPr>
                <w:rFonts w:ascii="Times New Roman" w:eastAsia="Times New Roman" w:hAnsi="Times New Roman" w:cs="Times New Roman"/>
                <w:kern w:val="0"/>
                <w:sz w:val="20"/>
                <w:szCs w:val="20"/>
                <w14:ligatures w14:val="none"/>
              </w:rPr>
              <w:t>The U</w:t>
            </w:r>
            <w:r w:rsidR="00DF7FE2">
              <w:rPr>
                <w:rFonts w:ascii="Times New Roman" w:eastAsia="Times New Roman" w:hAnsi="Times New Roman" w:cs="Times New Roman"/>
                <w:kern w:val="0"/>
                <w:sz w:val="20"/>
                <w:szCs w:val="20"/>
                <w14:ligatures w14:val="none"/>
              </w:rPr>
              <w:t>.S. Space Force</w:t>
            </w:r>
            <w:r w:rsidR="00A251FA" w:rsidRPr="00A251FA">
              <w:rPr>
                <w:rFonts w:ascii="Times New Roman" w:eastAsia="Times New Roman" w:hAnsi="Times New Roman" w:cs="Times New Roman"/>
                <w:kern w:val="0"/>
                <w:sz w:val="20"/>
                <w:szCs w:val="20"/>
                <w14:ligatures w14:val="none"/>
              </w:rPr>
              <w:t xml:space="preserve"> uses its acquisition power to increase the pool of launch providers, ensuring a healthy, innovative, and competitively priced industrial base</w:t>
            </w:r>
            <w:r w:rsidR="00DD2E48">
              <w:rPr>
                <w:rFonts w:ascii="Times New Roman" w:eastAsia="Times New Roman" w:hAnsi="Times New Roman" w:cs="Times New Roman"/>
                <w:kern w:val="0"/>
                <w:sz w:val="20"/>
                <w:szCs w:val="20"/>
                <w14:ligatures w14:val="none"/>
              </w:rPr>
              <w:t>, by</w:t>
            </w:r>
            <w:r w:rsidR="00461278">
              <w:rPr>
                <w:rFonts w:ascii="Times New Roman" w:eastAsia="Times New Roman" w:hAnsi="Times New Roman" w:cs="Times New Roman"/>
                <w:kern w:val="0"/>
                <w:sz w:val="20"/>
                <w:szCs w:val="20"/>
                <w14:ligatures w14:val="none"/>
              </w:rPr>
              <w:t xml:space="preserve"> </w:t>
            </w:r>
            <w:r w:rsidR="00461278" w:rsidRPr="00461278">
              <w:rPr>
                <w:rFonts w:ascii="Times New Roman" w:eastAsia="Times New Roman" w:hAnsi="Times New Roman" w:cs="Times New Roman"/>
                <w:kern w:val="0"/>
                <w:sz w:val="20"/>
                <w:szCs w:val="20"/>
                <w14:ligatures w14:val="none"/>
              </w:rPr>
              <w:t>maximiz</w:t>
            </w:r>
            <w:r w:rsidR="00DD2E48">
              <w:rPr>
                <w:rFonts w:ascii="Times New Roman" w:eastAsia="Times New Roman" w:hAnsi="Times New Roman" w:cs="Times New Roman"/>
                <w:kern w:val="0"/>
                <w:sz w:val="20"/>
                <w:szCs w:val="20"/>
                <w14:ligatures w14:val="none"/>
              </w:rPr>
              <w:t xml:space="preserve">ing </w:t>
            </w:r>
            <w:r w:rsidR="006B78E9">
              <w:rPr>
                <w:rFonts w:ascii="Times New Roman" w:eastAsia="Times New Roman" w:hAnsi="Times New Roman" w:cs="Times New Roman"/>
                <w:kern w:val="0"/>
                <w:sz w:val="20"/>
                <w:szCs w:val="20"/>
                <w14:ligatures w14:val="none"/>
              </w:rPr>
              <w:t>“</w:t>
            </w:r>
            <w:r w:rsidR="00461278" w:rsidRPr="00461278">
              <w:rPr>
                <w:rFonts w:ascii="Times New Roman" w:eastAsia="Times New Roman" w:hAnsi="Times New Roman" w:cs="Times New Roman"/>
                <w:kern w:val="0"/>
                <w:sz w:val="20"/>
                <w:szCs w:val="20"/>
                <w14:ligatures w14:val="none"/>
              </w:rPr>
              <w:t>the use of the capacity of the space transportation infrastructure of the Department of Defense by the private sector in the United States</w:t>
            </w:r>
            <w:r w:rsidR="00461278">
              <w:rPr>
                <w:rFonts w:ascii="Times New Roman" w:eastAsia="Times New Roman" w:hAnsi="Times New Roman" w:cs="Times New Roman"/>
                <w:kern w:val="0"/>
                <w:sz w:val="20"/>
                <w:szCs w:val="20"/>
                <w14:ligatures w14:val="none"/>
              </w:rPr>
              <w:t>”</w:t>
            </w:r>
            <w:r w:rsidR="003F4F90">
              <w:rPr>
                <w:rFonts w:ascii="Times New Roman" w:eastAsia="Times New Roman" w:hAnsi="Times New Roman" w:cs="Times New Roman"/>
                <w:kern w:val="0"/>
                <w:sz w:val="20"/>
                <w:szCs w:val="20"/>
                <w14:ligatures w14:val="none"/>
              </w:rPr>
              <w:t xml:space="preserve"> </w:t>
            </w:r>
            <w:r w:rsidR="00DD2E48">
              <w:rPr>
                <w:rFonts w:ascii="Times New Roman" w:eastAsia="Times New Roman" w:hAnsi="Times New Roman" w:cs="Times New Roman"/>
                <w:kern w:val="0"/>
                <w:sz w:val="20"/>
                <w:szCs w:val="20"/>
                <w14:ligatures w14:val="none"/>
              </w:rPr>
              <w:t>(</w:t>
            </w:r>
            <w:r w:rsidR="003F4F90" w:rsidRPr="003F4F90">
              <w:rPr>
                <w:rFonts w:ascii="Times New Roman" w:eastAsia="Times New Roman" w:hAnsi="Times New Roman" w:cs="Times New Roman"/>
                <w:kern w:val="0"/>
                <w:sz w:val="20"/>
                <w:szCs w:val="20"/>
                <w14:ligatures w14:val="none"/>
              </w:rPr>
              <w:t>10 U.S.C. § 2276</w:t>
            </w:r>
            <w:r w:rsidR="00DD2E48">
              <w:rPr>
                <w:rFonts w:ascii="Times New Roman" w:eastAsia="Times New Roman" w:hAnsi="Times New Roman" w:cs="Times New Roman"/>
                <w:kern w:val="0"/>
                <w:sz w:val="20"/>
                <w:szCs w:val="20"/>
                <w14:ligatures w14:val="none"/>
              </w:rPr>
              <w:t>)</w:t>
            </w:r>
            <w:r w:rsidR="00531288">
              <w:rPr>
                <w:rFonts w:ascii="Times New Roman" w:eastAsia="Times New Roman" w:hAnsi="Times New Roman" w:cs="Times New Roman"/>
                <w:kern w:val="0"/>
                <w:sz w:val="20"/>
                <w:szCs w:val="20"/>
                <w14:ligatures w14:val="none"/>
              </w:rPr>
              <w:t xml:space="preserve"> and “[encouraging] </w:t>
            </w:r>
            <w:r w:rsidR="00531288" w:rsidRPr="00531288">
              <w:rPr>
                <w:rFonts w:ascii="Times New Roman" w:eastAsia="Times New Roman" w:hAnsi="Times New Roman" w:cs="Times New Roman"/>
                <w:kern w:val="0"/>
                <w:sz w:val="20"/>
                <w:szCs w:val="20"/>
                <w14:ligatures w14:val="none"/>
              </w:rPr>
              <w:t>private sector launches, reentries, and associated service</w:t>
            </w:r>
            <w:r w:rsidR="006B78E9">
              <w:rPr>
                <w:rFonts w:ascii="Times New Roman" w:eastAsia="Times New Roman" w:hAnsi="Times New Roman" w:cs="Times New Roman"/>
                <w:kern w:val="0"/>
                <w:sz w:val="20"/>
                <w:szCs w:val="20"/>
                <w14:ligatures w14:val="none"/>
              </w:rPr>
              <w:t>s</w:t>
            </w:r>
            <w:r w:rsidR="00531288">
              <w:rPr>
                <w:rFonts w:ascii="Times New Roman" w:eastAsia="Times New Roman" w:hAnsi="Times New Roman" w:cs="Times New Roman"/>
                <w:kern w:val="0"/>
                <w:sz w:val="20"/>
                <w:szCs w:val="20"/>
                <w14:ligatures w14:val="none"/>
              </w:rPr>
              <w:t>” (</w:t>
            </w:r>
            <w:r w:rsidR="00EC49D6">
              <w:rPr>
                <w:rFonts w:ascii="Times New Roman" w:eastAsia="Times New Roman" w:hAnsi="Times New Roman" w:cs="Times New Roman"/>
                <w:kern w:val="0"/>
                <w:sz w:val="20"/>
                <w:szCs w:val="20"/>
                <w14:ligatures w14:val="none"/>
              </w:rPr>
              <w:t xml:space="preserve">51 U.S.C </w:t>
            </w:r>
            <w:r w:rsidR="00EC49D6" w:rsidRPr="003F4F90">
              <w:rPr>
                <w:rFonts w:ascii="Times New Roman" w:eastAsia="Times New Roman" w:hAnsi="Times New Roman" w:cs="Times New Roman"/>
                <w:kern w:val="0"/>
                <w:sz w:val="20"/>
                <w:szCs w:val="20"/>
                <w14:ligatures w14:val="none"/>
              </w:rPr>
              <w:t>§</w:t>
            </w:r>
            <w:r w:rsidR="00EC49D6">
              <w:rPr>
                <w:rFonts w:ascii="Times New Roman" w:eastAsia="Times New Roman" w:hAnsi="Times New Roman" w:cs="Times New Roman"/>
                <w:kern w:val="0"/>
                <w:sz w:val="20"/>
                <w:szCs w:val="20"/>
                <w14:ligatures w14:val="none"/>
              </w:rPr>
              <w:t xml:space="preserve"> 50901).</w:t>
            </w:r>
          </w:p>
        </w:tc>
      </w:tr>
      <w:tr w:rsidR="001A4693" w:rsidRPr="00DF7FE2" w14:paraId="3A1D5B9F" w14:textId="77777777" w:rsidTr="00934645">
        <w:trPr>
          <w:tblCellSpacing w:w="15" w:type="dxa"/>
        </w:trPr>
        <w:tc>
          <w:tcPr>
            <w:tcW w:w="2475" w:type="dxa"/>
            <w:tcBorders>
              <w:top w:val="single" w:sz="6" w:space="0" w:color="auto"/>
              <w:left w:val="single" w:sz="6" w:space="0" w:color="auto"/>
              <w:bottom w:val="single" w:sz="6" w:space="0" w:color="auto"/>
              <w:right w:val="single" w:sz="6" w:space="0" w:color="auto"/>
            </w:tcBorders>
            <w:vAlign w:val="center"/>
            <w:hideMark/>
          </w:tcPr>
          <w:p w14:paraId="1E2E0C38" w14:textId="4F2714B7"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b/>
                <w:bCs/>
                <w:kern w:val="0"/>
                <w:sz w:val="20"/>
                <w:szCs w:val="20"/>
                <w14:ligatures w14:val="none"/>
              </w:rPr>
              <w:t xml:space="preserve">3. Drive </w:t>
            </w:r>
            <w:r w:rsidR="0068170C">
              <w:rPr>
                <w:rFonts w:ascii="Times New Roman" w:eastAsia="Times New Roman" w:hAnsi="Times New Roman" w:cs="Times New Roman"/>
                <w:b/>
                <w:bCs/>
                <w:kern w:val="0"/>
                <w:sz w:val="20"/>
                <w:szCs w:val="20"/>
                <w14:ligatures w14:val="none"/>
              </w:rPr>
              <w:t>r</w:t>
            </w:r>
            <w:r w:rsidRPr="00A251FA">
              <w:rPr>
                <w:rFonts w:ascii="Times New Roman" w:eastAsia="Times New Roman" w:hAnsi="Times New Roman" w:cs="Times New Roman"/>
                <w:b/>
                <w:bCs/>
                <w:kern w:val="0"/>
                <w:sz w:val="20"/>
                <w:szCs w:val="20"/>
                <w14:ligatures w14:val="none"/>
              </w:rPr>
              <w:t>esilience</w:t>
            </w:r>
            <w:r w:rsidR="00934645">
              <w:rPr>
                <w:rFonts w:ascii="Times New Roman" w:eastAsia="Times New Roman" w:hAnsi="Times New Roman" w:cs="Times New Roman"/>
                <w:b/>
                <w:bCs/>
                <w:kern w:val="0"/>
                <w:sz w:val="20"/>
                <w:szCs w:val="20"/>
                <w14:ligatures w14:val="none"/>
              </w:rPr>
              <w:t xml:space="preserve"> </w:t>
            </w:r>
            <w:r w:rsidR="00934645" w:rsidRPr="00934645">
              <w:rPr>
                <w:rFonts w:ascii="Times New Roman" w:eastAsia="Times New Roman" w:hAnsi="Times New Roman" w:cs="Times New Roman"/>
                <w:b/>
                <w:bCs/>
                <w:kern w:val="0"/>
                <w:sz w:val="20"/>
                <w:szCs w:val="20"/>
                <w14:ligatures w14:val="none"/>
              </w:rPr>
              <w:t>through diversity in launch vehicles, launch companies, launch site infrastructure, and supply and logistics chains.</w:t>
            </w:r>
          </w:p>
        </w:tc>
        <w:tc>
          <w:tcPr>
            <w:tcW w:w="6975" w:type="dxa"/>
            <w:tcBorders>
              <w:top w:val="single" w:sz="6" w:space="0" w:color="auto"/>
              <w:left w:val="single" w:sz="6" w:space="0" w:color="auto"/>
              <w:bottom w:val="single" w:sz="6" w:space="0" w:color="auto"/>
              <w:right w:val="single" w:sz="6" w:space="0" w:color="auto"/>
            </w:tcBorders>
            <w:vAlign w:val="center"/>
            <w:hideMark/>
          </w:tcPr>
          <w:p w14:paraId="6797802E" w14:textId="23EB6825" w:rsidR="00A251FA" w:rsidRPr="00A251FA" w:rsidRDefault="00E926ED" w:rsidP="00A251FA">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The federal government and the U.S. Space Force a</w:t>
            </w:r>
            <w:r w:rsidR="00A251FA" w:rsidRPr="00A251FA">
              <w:rPr>
                <w:rFonts w:ascii="Times New Roman" w:eastAsia="Times New Roman" w:hAnsi="Times New Roman" w:cs="Times New Roman"/>
                <w:kern w:val="0"/>
                <w:sz w:val="20"/>
                <w:szCs w:val="20"/>
                <w14:ligatures w14:val="none"/>
              </w:rPr>
              <w:t>im for diversity in vehicles and providers so that a single failure (technical or economic) doesn't ground the entire U.S. space capability.</w:t>
            </w:r>
            <w:r w:rsidR="0034203A">
              <w:rPr>
                <w:rFonts w:ascii="Times New Roman" w:eastAsia="Times New Roman" w:hAnsi="Times New Roman" w:cs="Times New Roman"/>
                <w:kern w:val="0"/>
                <w:sz w:val="20"/>
                <w:szCs w:val="20"/>
                <w14:ligatures w14:val="none"/>
              </w:rPr>
              <w:t xml:space="preserve"> </w:t>
            </w:r>
            <w:r w:rsidR="00391A1B">
              <w:rPr>
                <w:rFonts w:ascii="Times New Roman" w:eastAsia="Times New Roman" w:hAnsi="Times New Roman" w:cs="Times New Roman"/>
                <w:kern w:val="0"/>
                <w:sz w:val="20"/>
                <w:szCs w:val="20"/>
                <w14:ligatures w14:val="none"/>
              </w:rPr>
              <w:t xml:space="preserve">As part of its acquisition strategy and to </w:t>
            </w:r>
            <w:r w:rsidR="00EB70FB">
              <w:rPr>
                <w:rFonts w:ascii="Times New Roman" w:eastAsia="Times New Roman" w:hAnsi="Times New Roman" w:cs="Times New Roman"/>
                <w:kern w:val="0"/>
                <w:sz w:val="20"/>
                <w:szCs w:val="20"/>
                <w14:ligatures w14:val="none"/>
              </w:rPr>
              <w:t>increase</w:t>
            </w:r>
            <w:r w:rsidR="00746863">
              <w:rPr>
                <w:rFonts w:ascii="Times New Roman" w:eastAsia="Times New Roman" w:hAnsi="Times New Roman" w:cs="Times New Roman"/>
                <w:kern w:val="0"/>
                <w:sz w:val="20"/>
                <w:szCs w:val="20"/>
                <w14:ligatures w14:val="none"/>
              </w:rPr>
              <w:t xml:space="preserve"> the field of</w:t>
            </w:r>
            <w:r w:rsidR="00EB70FB">
              <w:rPr>
                <w:rFonts w:ascii="Times New Roman" w:eastAsia="Times New Roman" w:hAnsi="Times New Roman" w:cs="Times New Roman"/>
                <w:kern w:val="0"/>
                <w:sz w:val="20"/>
                <w:szCs w:val="20"/>
                <w14:ligatures w14:val="none"/>
              </w:rPr>
              <w:t xml:space="preserve"> launch providers for national security missions, the</w:t>
            </w:r>
            <w:r w:rsidR="00391A1B">
              <w:rPr>
                <w:rFonts w:ascii="Times New Roman" w:eastAsia="Times New Roman" w:hAnsi="Times New Roman" w:cs="Times New Roman"/>
                <w:kern w:val="0"/>
                <w:sz w:val="20"/>
                <w:szCs w:val="20"/>
                <w14:ligatures w14:val="none"/>
              </w:rPr>
              <w:t xml:space="preserve"> U.S. Space Force </w:t>
            </w:r>
            <w:r w:rsidR="0034203A" w:rsidRPr="0034203A">
              <w:rPr>
                <w:rFonts w:ascii="Times New Roman" w:eastAsia="Times New Roman" w:hAnsi="Times New Roman" w:cs="Times New Roman"/>
                <w:kern w:val="0"/>
                <w:sz w:val="20"/>
                <w:szCs w:val="20"/>
                <w14:ligatures w14:val="none"/>
              </w:rPr>
              <w:t>introduced a "dual-lane" N</w:t>
            </w:r>
            <w:r w:rsidR="00A254A9">
              <w:rPr>
                <w:rFonts w:ascii="Times New Roman" w:eastAsia="Times New Roman" w:hAnsi="Times New Roman" w:cs="Times New Roman"/>
                <w:kern w:val="0"/>
                <w:sz w:val="20"/>
                <w:szCs w:val="20"/>
                <w14:ligatures w14:val="none"/>
              </w:rPr>
              <w:t>ational Security Space Launch (NSSL)</w:t>
            </w:r>
            <w:r w:rsidR="0034203A" w:rsidRPr="0034203A">
              <w:rPr>
                <w:rFonts w:ascii="Times New Roman" w:eastAsia="Times New Roman" w:hAnsi="Times New Roman" w:cs="Times New Roman"/>
                <w:kern w:val="0"/>
                <w:sz w:val="20"/>
                <w:szCs w:val="20"/>
                <w14:ligatures w14:val="none"/>
              </w:rPr>
              <w:t xml:space="preserve"> Phase 3 strategy, with </w:t>
            </w:r>
            <w:r w:rsidR="00A254A9">
              <w:rPr>
                <w:rFonts w:ascii="Times New Roman" w:eastAsia="Times New Roman" w:hAnsi="Times New Roman" w:cs="Times New Roman"/>
                <w:kern w:val="0"/>
                <w:sz w:val="20"/>
                <w:szCs w:val="20"/>
                <w14:ligatures w14:val="none"/>
              </w:rPr>
              <w:t>a specific Lane 1</w:t>
            </w:r>
            <w:r w:rsidR="0034203A" w:rsidRPr="0034203A">
              <w:rPr>
                <w:rFonts w:ascii="Times New Roman" w:eastAsia="Times New Roman" w:hAnsi="Times New Roman" w:cs="Times New Roman"/>
                <w:kern w:val="0"/>
                <w:sz w:val="20"/>
                <w:szCs w:val="20"/>
                <w14:ligatures w14:val="none"/>
              </w:rPr>
              <w:t xml:space="preserve"> fostering annual on-ramping for new providers</w:t>
            </w:r>
            <w:r w:rsidR="00A254A9">
              <w:rPr>
                <w:rFonts w:ascii="Times New Roman" w:eastAsia="Times New Roman" w:hAnsi="Times New Roman" w:cs="Times New Roman"/>
                <w:kern w:val="0"/>
                <w:sz w:val="20"/>
                <w:szCs w:val="20"/>
                <w14:ligatures w14:val="none"/>
              </w:rPr>
              <w:t xml:space="preserve"> (FY2024 NDAA).</w:t>
            </w:r>
          </w:p>
        </w:tc>
      </w:tr>
      <w:tr w:rsidR="001A4693" w:rsidRPr="00DF7FE2" w14:paraId="7B7E2B06" w14:textId="77777777" w:rsidTr="00934645">
        <w:trPr>
          <w:tblCellSpacing w:w="15" w:type="dxa"/>
        </w:trPr>
        <w:tc>
          <w:tcPr>
            <w:tcW w:w="2475" w:type="dxa"/>
            <w:tcBorders>
              <w:top w:val="single" w:sz="6" w:space="0" w:color="auto"/>
              <w:left w:val="single" w:sz="6" w:space="0" w:color="auto"/>
              <w:bottom w:val="single" w:sz="6" w:space="0" w:color="auto"/>
              <w:right w:val="single" w:sz="6" w:space="0" w:color="auto"/>
            </w:tcBorders>
            <w:vAlign w:val="center"/>
            <w:hideMark/>
          </w:tcPr>
          <w:p w14:paraId="1350C6B8" w14:textId="1BF71499"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b/>
                <w:bCs/>
                <w:kern w:val="0"/>
                <w:sz w:val="20"/>
                <w:szCs w:val="20"/>
                <w14:ligatures w14:val="none"/>
              </w:rPr>
              <w:t xml:space="preserve">4. Balance </w:t>
            </w:r>
            <w:r w:rsidR="00700BA1">
              <w:rPr>
                <w:rFonts w:ascii="Times New Roman" w:eastAsia="Times New Roman" w:hAnsi="Times New Roman" w:cs="Times New Roman"/>
                <w:b/>
                <w:bCs/>
                <w:kern w:val="0"/>
                <w:sz w:val="20"/>
                <w:szCs w:val="20"/>
                <w14:ligatures w14:val="none"/>
              </w:rPr>
              <w:t>r</w:t>
            </w:r>
            <w:r w:rsidRPr="00A251FA">
              <w:rPr>
                <w:rFonts w:ascii="Times New Roman" w:eastAsia="Times New Roman" w:hAnsi="Times New Roman" w:cs="Times New Roman"/>
                <w:b/>
                <w:bCs/>
                <w:kern w:val="0"/>
                <w:sz w:val="20"/>
                <w:szCs w:val="20"/>
                <w14:ligatures w14:val="none"/>
              </w:rPr>
              <w:t>isk</w:t>
            </w:r>
            <w:r w:rsidR="00700BA1">
              <w:rPr>
                <w:rFonts w:ascii="Times New Roman" w:eastAsia="Times New Roman" w:hAnsi="Times New Roman" w:cs="Times New Roman"/>
                <w:b/>
                <w:bCs/>
                <w:kern w:val="0"/>
                <w:sz w:val="20"/>
                <w:szCs w:val="20"/>
                <w14:ligatures w14:val="none"/>
              </w:rPr>
              <w:t xml:space="preserve"> with mission objectives</w:t>
            </w:r>
          </w:p>
        </w:tc>
        <w:tc>
          <w:tcPr>
            <w:tcW w:w="6975" w:type="dxa"/>
            <w:tcBorders>
              <w:top w:val="single" w:sz="6" w:space="0" w:color="auto"/>
              <w:left w:val="single" w:sz="6" w:space="0" w:color="auto"/>
              <w:bottom w:val="single" w:sz="6" w:space="0" w:color="auto"/>
              <w:right w:val="single" w:sz="6" w:space="0" w:color="auto"/>
            </w:tcBorders>
            <w:vAlign w:val="center"/>
            <w:hideMark/>
          </w:tcPr>
          <w:p w14:paraId="1CE44029" w14:textId="097EB017"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kern w:val="0"/>
                <w:sz w:val="20"/>
                <w:szCs w:val="20"/>
                <w14:ligatures w14:val="none"/>
              </w:rPr>
              <w:t>Mission assurance levels are adjusted based on the criticality of the payload and the current global threat environment</w:t>
            </w:r>
            <w:r w:rsidR="007A6720">
              <w:rPr>
                <w:rFonts w:ascii="Times New Roman" w:eastAsia="Times New Roman" w:hAnsi="Times New Roman" w:cs="Times New Roman"/>
                <w:kern w:val="0"/>
                <w:sz w:val="20"/>
                <w:szCs w:val="20"/>
                <w14:ligatures w14:val="none"/>
              </w:rPr>
              <w:t>. Assessment of national security payloads will “…</w:t>
            </w:r>
            <w:r w:rsidR="007A6720" w:rsidRPr="007A6720">
              <w:rPr>
                <w:rFonts w:ascii="Times New Roman" w:eastAsia="Times New Roman" w:hAnsi="Times New Roman" w:cs="Times New Roman"/>
                <w:kern w:val="0"/>
                <w:sz w:val="20"/>
                <w:szCs w:val="20"/>
                <w14:ligatures w14:val="none"/>
              </w:rPr>
              <w:t>maintain risks of mission success at acceptable levels”</w:t>
            </w:r>
            <w:r w:rsidR="007A6720">
              <w:rPr>
                <w:rFonts w:ascii="Times New Roman" w:eastAsia="Times New Roman" w:hAnsi="Times New Roman" w:cs="Times New Roman"/>
                <w:kern w:val="0"/>
                <w:sz w:val="20"/>
                <w:szCs w:val="20"/>
                <w14:ligatures w14:val="none"/>
              </w:rPr>
              <w:t xml:space="preserve"> (</w:t>
            </w:r>
            <w:r w:rsidR="007A6720" w:rsidRPr="00BB3B7F">
              <w:rPr>
                <w:rFonts w:ascii="Times New Roman" w:eastAsia="Times New Roman" w:hAnsi="Times New Roman" w:cs="Times New Roman"/>
                <w:kern w:val="0"/>
                <w:sz w:val="20"/>
                <w:szCs w:val="20"/>
                <w14:ligatures w14:val="none"/>
              </w:rPr>
              <w:t>10 U.S.C. § 2273</w:t>
            </w:r>
            <w:r w:rsidR="007A6720">
              <w:rPr>
                <w:rFonts w:ascii="Times New Roman" w:eastAsia="Times New Roman" w:hAnsi="Times New Roman" w:cs="Times New Roman"/>
                <w:kern w:val="0"/>
                <w:sz w:val="20"/>
                <w:szCs w:val="20"/>
                <w14:ligatures w14:val="none"/>
              </w:rPr>
              <w:t>)</w:t>
            </w:r>
            <w:r w:rsidR="002700C5">
              <w:rPr>
                <w:rFonts w:ascii="Times New Roman" w:eastAsia="Times New Roman" w:hAnsi="Times New Roman" w:cs="Times New Roman"/>
                <w:kern w:val="0"/>
                <w:sz w:val="20"/>
                <w:szCs w:val="20"/>
                <w14:ligatures w14:val="none"/>
              </w:rPr>
              <w:t xml:space="preserve"> according to reasonable costs</w:t>
            </w:r>
            <w:r w:rsidR="0080106F">
              <w:rPr>
                <w:rFonts w:ascii="Times New Roman" w:eastAsia="Times New Roman" w:hAnsi="Times New Roman" w:cs="Times New Roman"/>
                <w:kern w:val="0"/>
                <w:sz w:val="20"/>
                <w:szCs w:val="20"/>
                <w14:ligatures w14:val="none"/>
              </w:rPr>
              <w:t xml:space="preserve"> (FAR 31.201-3)</w:t>
            </w:r>
          </w:p>
        </w:tc>
      </w:tr>
      <w:tr w:rsidR="001A4693" w:rsidRPr="00DF7FE2" w14:paraId="0237CFD2" w14:textId="77777777" w:rsidTr="00934645">
        <w:trPr>
          <w:tblCellSpacing w:w="15" w:type="dxa"/>
        </w:trPr>
        <w:tc>
          <w:tcPr>
            <w:tcW w:w="2475" w:type="dxa"/>
            <w:tcBorders>
              <w:top w:val="single" w:sz="6" w:space="0" w:color="auto"/>
              <w:left w:val="single" w:sz="6" w:space="0" w:color="auto"/>
              <w:bottom w:val="single" w:sz="6" w:space="0" w:color="auto"/>
              <w:right w:val="single" w:sz="6" w:space="0" w:color="auto"/>
            </w:tcBorders>
            <w:vAlign w:val="center"/>
            <w:hideMark/>
          </w:tcPr>
          <w:p w14:paraId="324585FC" w14:textId="767654A2"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b/>
                <w:bCs/>
                <w:kern w:val="0"/>
                <w:sz w:val="20"/>
                <w:szCs w:val="20"/>
                <w14:ligatures w14:val="none"/>
              </w:rPr>
              <w:t xml:space="preserve">5. Maximize </w:t>
            </w:r>
            <w:r w:rsidR="007A6720">
              <w:rPr>
                <w:rFonts w:ascii="Times New Roman" w:eastAsia="Times New Roman" w:hAnsi="Times New Roman" w:cs="Times New Roman"/>
                <w:b/>
                <w:bCs/>
                <w:kern w:val="0"/>
                <w:sz w:val="20"/>
                <w:szCs w:val="20"/>
                <w14:ligatures w14:val="none"/>
              </w:rPr>
              <w:t xml:space="preserve">the return on investment from </w:t>
            </w:r>
            <w:r w:rsidR="00DF06A6">
              <w:rPr>
                <w:rFonts w:ascii="Times New Roman" w:eastAsia="Times New Roman" w:hAnsi="Times New Roman" w:cs="Times New Roman"/>
                <w:b/>
                <w:bCs/>
                <w:kern w:val="0"/>
                <w:sz w:val="20"/>
                <w:szCs w:val="20"/>
                <w14:ligatures w14:val="none"/>
              </w:rPr>
              <w:t>g</w:t>
            </w:r>
            <w:r w:rsidR="007A6720">
              <w:rPr>
                <w:rFonts w:ascii="Times New Roman" w:eastAsia="Times New Roman" w:hAnsi="Times New Roman" w:cs="Times New Roman"/>
                <w:b/>
                <w:bCs/>
                <w:kern w:val="0"/>
                <w:sz w:val="20"/>
                <w:szCs w:val="20"/>
                <w14:ligatures w14:val="none"/>
              </w:rPr>
              <w:t>overnment resources</w:t>
            </w:r>
          </w:p>
        </w:tc>
        <w:tc>
          <w:tcPr>
            <w:tcW w:w="6975" w:type="dxa"/>
            <w:tcBorders>
              <w:top w:val="single" w:sz="6" w:space="0" w:color="auto"/>
              <w:left w:val="single" w:sz="6" w:space="0" w:color="auto"/>
              <w:bottom w:val="single" w:sz="6" w:space="0" w:color="auto"/>
              <w:right w:val="single" w:sz="6" w:space="0" w:color="auto"/>
            </w:tcBorders>
            <w:vAlign w:val="center"/>
            <w:hideMark/>
          </w:tcPr>
          <w:p w14:paraId="3031D151" w14:textId="7DCA817F"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proofErr w:type="gramStart"/>
            <w:r w:rsidRPr="00A251FA">
              <w:rPr>
                <w:rFonts w:ascii="Times New Roman" w:eastAsia="Times New Roman" w:hAnsi="Times New Roman" w:cs="Times New Roman"/>
                <w:kern w:val="0"/>
                <w:sz w:val="20"/>
                <w:szCs w:val="20"/>
                <w14:ligatures w14:val="none"/>
              </w:rPr>
              <w:t>Prioritizes</w:t>
            </w:r>
            <w:proofErr w:type="gramEnd"/>
            <w:r w:rsidRPr="00A251FA">
              <w:rPr>
                <w:rFonts w:ascii="Times New Roman" w:eastAsia="Times New Roman" w:hAnsi="Times New Roman" w:cs="Times New Roman"/>
                <w:kern w:val="0"/>
                <w:sz w:val="20"/>
                <w:szCs w:val="20"/>
                <w14:ligatures w14:val="none"/>
              </w:rPr>
              <w:t xml:space="preserve"> resource allocation (like launch complexes) based on what offers the best mass-to-orbit, responsiveness, and taxpayer value.</w:t>
            </w:r>
            <w:r w:rsidR="006A1092">
              <w:rPr>
                <w:rFonts w:ascii="Times New Roman" w:eastAsia="Times New Roman" w:hAnsi="Times New Roman" w:cs="Times New Roman"/>
                <w:kern w:val="0"/>
                <w:sz w:val="20"/>
                <w:szCs w:val="20"/>
                <w14:ligatures w14:val="none"/>
              </w:rPr>
              <w:t xml:space="preserve"> </w:t>
            </w:r>
            <w:r w:rsidR="000E18B7">
              <w:rPr>
                <w:rFonts w:ascii="Times New Roman" w:eastAsia="Times New Roman" w:hAnsi="Times New Roman" w:cs="Times New Roman"/>
                <w:kern w:val="0"/>
                <w:sz w:val="20"/>
                <w:szCs w:val="20"/>
                <w14:ligatures w14:val="none"/>
              </w:rPr>
              <w:t xml:space="preserve">The Secretary of Defense will “maximize the effectiveness and </w:t>
            </w:r>
            <w:r w:rsidR="00DF38B8">
              <w:rPr>
                <w:rFonts w:ascii="Times New Roman" w:eastAsia="Times New Roman" w:hAnsi="Times New Roman" w:cs="Times New Roman"/>
                <w:kern w:val="0"/>
                <w:sz w:val="20"/>
                <w:szCs w:val="20"/>
                <w14:ligatures w14:val="none"/>
              </w:rPr>
              <w:t>efficiency of the [DoD’s] space transportation infrastructure” (</w:t>
            </w:r>
            <w:r w:rsidR="00DF38B8" w:rsidRPr="00BB3B7F">
              <w:rPr>
                <w:rFonts w:ascii="Times New Roman" w:eastAsia="Times New Roman" w:hAnsi="Times New Roman" w:cs="Times New Roman"/>
                <w:kern w:val="0"/>
                <w:sz w:val="20"/>
                <w:szCs w:val="20"/>
                <w14:ligatures w14:val="none"/>
              </w:rPr>
              <w:t>10 U.S.C. § 227</w:t>
            </w:r>
            <w:r w:rsidR="00DF38B8">
              <w:rPr>
                <w:rFonts w:ascii="Times New Roman" w:eastAsia="Times New Roman" w:hAnsi="Times New Roman" w:cs="Times New Roman"/>
                <w:kern w:val="0"/>
                <w:sz w:val="20"/>
                <w:szCs w:val="20"/>
                <w14:ligatures w14:val="none"/>
              </w:rPr>
              <w:t>6).</w:t>
            </w:r>
          </w:p>
        </w:tc>
      </w:tr>
      <w:tr w:rsidR="001A4693" w:rsidRPr="00DF7FE2" w14:paraId="4A1B6E5B" w14:textId="77777777" w:rsidTr="00934645">
        <w:trPr>
          <w:tblCellSpacing w:w="15" w:type="dxa"/>
        </w:trPr>
        <w:tc>
          <w:tcPr>
            <w:tcW w:w="2475" w:type="dxa"/>
            <w:tcBorders>
              <w:top w:val="single" w:sz="6" w:space="0" w:color="auto"/>
              <w:left w:val="single" w:sz="6" w:space="0" w:color="auto"/>
              <w:bottom w:val="single" w:sz="6" w:space="0" w:color="auto"/>
              <w:right w:val="single" w:sz="6" w:space="0" w:color="auto"/>
            </w:tcBorders>
            <w:vAlign w:val="center"/>
            <w:hideMark/>
          </w:tcPr>
          <w:p w14:paraId="322C5207" w14:textId="3D3FF094"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b/>
                <w:bCs/>
                <w:kern w:val="0"/>
                <w:sz w:val="20"/>
                <w:szCs w:val="20"/>
                <w14:ligatures w14:val="none"/>
              </w:rPr>
              <w:t xml:space="preserve">6. </w:t>
            </w:r>
            <w:r w:rsidR="00832E82">
              <w:rPr>
                <w:rFonts w:ascii="Times New Roman" w:eastAsia="Times New Roman" w:hAnsi="Times New Roman" w:cs="Times New Roman"/>
                <w:b/>
                <w:bCs/>
                <w:kern w:val="0"/>
                <w:sz w:val="20"/>
                <w:szCs w:val="20"/>
                <w14:ligatures w14:val="none"/>
              </w:rPr>
              <w:t xml:space="preserve">Be ready to launch payloads when needed </w:t>
            </w:r>
          </w:p>
        </w:tc>
        <w:tc>
          <w:tcPr>
            <w:tcW w:w="6975" w:type="dxa"/>
            <w:tcBorders>
              <w:top w:val="single" w:sz="6" w:space="0" w:color="auto"/>
              <w:left w:val="single" w:sz="6" w:space="0" w:color="auto"/>
              <w:bottom w:val="single" w:sz="6" w:space="0" w:color="auto"/>
              <w:right w:val="single" w:sz="6" w:space="0" w:color="auto"/>
            </w:tcBorders>
            <w:vAlign w:val="center"/>
            <w:hideMark/>
          </w:tcPr>
          <w:p w14:paraId="6953ACDC" w14:textId="175035AE" w:rsidR="002F6B5E" w:rsidRPr="00A251FA" w:rsidRDefault="002B323C" w:rsidP="00A251FA">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The U.S. will develop “</w:t>
            </w:r>
            <w:r w:rsidRPr="002B323C">
              <w:rPr>
                <w:rFonts w:ascii="Times New Roman" w:eastAsia="Times New Roman" w:hAnsi="Times New Roman" w:cs="Times New Roman"/>
                <w:kern w:val="0"/>
                <w:sz w:val="20"/>
                <w:szCs w:val="20"/>
                <w14:ligatures w14:val="none"/>
              </w:rPr>
              <w:t>rapid launch options to reinforce or to reconstitute priority national security space capabilities</w:t>
            </w:r>
            <w:r w:rsidR="007B568B">
              <w:rPr>
                <w:rFonts w:ascii="Times New Roman" w:eastAsia="Times New Roman" w:hAnsi="Times New Roman" w:cs="Times New Roman"/>
                <w:kern w:val="0"/>
                <w:sz w:val="20"/>
                <w:szCs w:val="20"/>
                <w14:ligatures w14:val="none"/>
              </w:rPr>
              <w:t>” (2020 National Space Policy</w:t>
            </w:r>
            <w:r w:rsidR="00AB473D">
              <w:rPr>
                <w:rFonts w:ascii="Times New Roman" w:eastAsia="Times New Roman" w:hAnsi="Times New Roman" w:cs="Times New Roman"/>
                <w:kern w:val="0"/>
                <w:sz w:val="20"/>
                <w:szCs w:val="20"/>
                <w14:ligatures w14:val="none"/>
              </w:rPr>
              <w:t>), and Congress</w:t>
            </w:r>
            <w:r w:rsidR="00AB473D" w:rsidRPr="003512D8">
              <w:rPr>
                <w:rFonts w:ascii="Times New Roman" w:eastAsia="Times New Roman" w:hAnsi="Times New Roman" w:cs="Times New Roman"/>
                <w:kern w:val="0"/>
                <w:sz w:val="20"/>
                <w:szCs w:val="20"/>
                <w14:ligatures w14:val="none"/>
              </w:rPr>
              <w:t xml:space="preserve"> </w:t>
            </w:r>
            <w:r w:rsidR="00AB473D">
              <w:rPr>
                <w:rFonts w:ascii="Times New Roman" w:eastAsia="Times New Roman" w:hAnsi="Times New Roman" w:cs="Times New Roman"/>
                <w:kern w:val="0"/>
                <w:sz w:val="20"/>
                <w:szCs w:val="20"/>
                <w14:ligatures w14:val="none"/>
              </w:rPr>
              <w:t>directed</w:t>
            </w:r>
            <w:r w:rsidR="00AB473D" w:rsidRPr="003512D8">
              <w:rPr>
                <w:rFonts w:ascii="Times New Roman" w:eastAsia="Times New Roman" w:hAnsi="Times New Roman" w:cs="Times New Roman"/>
                <w:kern w:val="0"/>
                <w:sz w:val="20"/>
                <w:szCs w:val="20"/>
                <w14:ligatures w14:val="none"/>
              </w:rPr>
              <w:t xml:space="preserve"> "tactically responsive space," prioritizing rapid launch capabilitie</w:t>
            </w:r>
            <w:r w:rsidR="00AB473D">
              <w:rPr>
                <w:rFonts w:ascii="Times New Roman" w:eastAsia="Times New Roman" w:hAnsi="Times New Roman" w:cs="Times New Roman"/>
                <w:kern w:val="0"/>
                <w:sz w:val="20"/>
                <w:szCs w:val="20"/>
                <w14:ligatures w14:val="none"/>
              </w:rPr>
              <w:t>s (FY2023 NDAA)</w:t>
            </w:r>
            <w:r w:rsidR="007B568B">
              <w:rPr>
                <w:rFonts w:ascii="Times New Roman" w:eastAsia="Times New Roman" w:hAnsi="Times New Roman" w:cs="Times New Roman"/>
                <w:kern w:val="0"/>
                <w:sz w:val="20"/>
                <w:szCs w:val="20"/>
                <w14:ligatures w14:val="none"/>
              </w:rPr>
              <w:t>. This principle f</w:t>
            </w:r>
            <w:r w:rsidR="00A251FA" w:rsidRPr="00A251FA">
              <w:rPr>
                <w:rFonts w:ascii="Times New Roman" w:eastAsia="Times New Roman" w:hAnsi="Times New Roman" w:cs="Times New Roman"/>
                <w:kern w:val="0"/>
                <w:sz w:val="20"/>
                <w:szCs w:val="20"/>
                <w14:ligatures w14:val="none"/>
              </w:rPr>
              <w:t>ocuses on "tactically relevant timelines," favoring providers and infrastructure that can launch quickly during a conflict.</w:t>
            </w:r>
            <w:r w:rsidR="003512D8">
              <w:rPr>
                <w:rFonts w:ascii="Times New Roman" w:eastAsia="Times New Roman" w:hAnsi="Times New Roman" w:cs="Times New Roman"/>
                <w:kern w:val="0"/>
                <w:sz w:val="20"/>
                <w:szCs w:val="20"/>
                <w14:ligatures w14:val="none"/>
              </w:rPr>
              <w:t xml:space="preserve"> </w:t>
            </w:r>
          </w:p>
        </w:tc>
      </w:tr>
      <w:tr w:rsidR="001A4693" w:rsidRPr="00DF7FE2" w14:paraId="73DB609C" w14:textId="77777777" w:rsidTr="00934645">
        <w:trPr>
          <w:tblCellSpacing w:w="15" w:type="dxa"/>
        </w:trPr>
        <w:tc>
          <w:tcPr>
            <w:tcW w:w="2475" w:type="dxa"/>
            <w:tcBorders>
              <w:top w:val="single" w:sz="6" w:space="0" w:color="auto"/>
              <w:left w:val="single" w:sz="6" w:space="0" w:color="auto"/>
              <w:bottom w:val="single" w:sz="6" w:space="0" w:color="auto"/>
              <w:right w:val="single" w:sz="6" w:space="0" w:color="auto"/>
            </w:tcBorders>
            <w:vAlign w:val="center"/>
            <w:hideMark/>
          </w:tcPr>
          <w:p w14:paraId="19656B42" w14:textId="2A471E3A"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b/>
                <w:bCs/>
                <w:kern w:val="0"/>
                <w:sz w:val="20"/>
                <w:szCs w:val="20"/>
                <w14:ligatures w14:val="none"/>
              </w:rPr>
              <w:t xml:space="preserve">7. Preserve </w:t>
            </w:r>
            <w:r w:rsidR="007B073D">
              <w:rPr>
                <w:rFonts w:ascii="Times New Roman" w:eastAsia="Times New Roman" w:hAnsi="Times New Roman" w:cs="Times New Roman"/>
                <w:b/>
                <w:bCs/>
                <w:kern w:val="0"/>
                <w:sz w:val="20"/>
                <w:szCs w:val="20"/>
                <w14:ligatures w14:val="none"/>
              </w:rPr>
              <w:t>p</w:t>
            </w:r>
            <w:r w:rsidRPr="00A251FA">
              <w:rPr>
                <w:rFonts w:ascii="Times New Roman" w:eastAsia="Times New Roman" w:hAnsi="Times New Roman" w:cs="Times New Roman"/>
                <w:b/>
                <w:bCs/>
                <w:kern w:val="0"/>
                <w:sz w:val="20"/>
                <w:szCs w:val="20"/>
                <w14:ligatures w14:val="none"/>
              </w:rPr>
              <w:t xml:space="preserve">ublic </w:t>
            </w:r>
            <w:r w:rsidR="007B073D">
              <w:rPr>
                <w:rFonts w:ascii="Times New Roman" w:eastAsia="Times New Roman" w:hAnsi="Times New Roman" w:cs="Times New Roman"/>
                <w:b/>
                <w:bCs/>
                <w:kern w:val="0"/>
                <w:sz w:val="20"/>
                <w:szCs w:val="20"/>
                <w14:ligatures w14:val="none"/>
              </w:rPr>
              <w:t>s</w:t>
            </w:r>
            <w:r w:rsidRPr="00A251FA">
              <w:rPr>
                <w:rFonts w:ascii="Times New Roman" w:eastAsia="Times New Roman" w:hAnsi="Times New Roman" w:cs="Times New Roman"/>
                <w:b/>
                <w:bCs/>
                <w:kern w:val="0"/>
                <w:sz w:val="20"/>
                <w:szCs w:val="20"/>
                <w14:ligatures w14:val="none"/>
              </w:rPr>
              <w:t>afety</w:t>
            </w:r>
            <w:r w:rsidR="007B073D">
              <w:rPr>
                <w:rFonts w:ascii="Times New Roman" w:eastAsia="Times New Roman" w:hAnsi="Times New Roman" w:cs="Times New Roman"/>
                <w:b/>
                <w:bCs/>
                <w:kern w:val="0"/>
                <w:sz w:val="20"/>
                <w:szCs w:val="20"/>
                <w14:ligatures w14:val="none"/>
              </w:rPr>
              <w:t xml:space="preserve"> and protect critical national and natural resources during hazardous activities</w:t>
            </w:r>
          </w:p>
        </w:tc>
        <w:tc>
          <w:tcPr>
            <w:tcW w:w="6975" w:type="dxa"/>
            <w:tcBorders>
              <w:top w:val="single" w:sz="6" w:space="0" w:color="auto"/>
              <w:left w:val="single" w:sz="6" w:space="0" w:color="auto"/>
              <w:bottom w:val="single" w:sz="6" w:space="0" w:color="auto"/>
              <w:right w:val="single" w:sz="6" w:space="0" w:color="auto"/>
            </w:tcBorders>
            <w:vAlign w:val="center"/>
            <w:hideMark/>
          </w:tcPr>
          <w:p w14:paraId="62D0806A" w14:textId="4B5C429A"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kern w:val="0"/>
                <w:sz w:val="20"/>
                <w:szCs w:val="20"/>
                <w14:ligatures w14:val="none"/>
              </w:rPr>
              <w:t>Ensures all hazardous launch and reentry activities strictly follow Federal safety regulations</w:t>
            </w:r>
            <w:r w:rsidR="0004689D">
              <w:rPr>
                <w:rFonts w:ascii="Times New Roman" w:eastAsia="Times New Roman" w:hAnsi="Times New Roman" w:cs="Times New Roman"/>
                <w:kern w:val="0"/>
                <w:sz w:val="20"/>
                <w:szCs w:val="20"/>
                <w14:ligatures w14:val="none"/>
              </w:rPr>
              <w:t xml:space="preserve"> </w:t>
            </w:r>
            <w:r w:rsidR="00CC52E1">
              <w:rPr>
                <w:rFonts w:ascii="Times New Roman" w:eastAsia="Times New Roman" w:hAnsi="Times New Roman" w:cs="Times New Roman"/>
                <w:kern w:val="0"/>
                <w:sz w:val="20"/>
                <w:szCs w:val="20"/>
                <w14:ligatures w14:val="none"/>
              </w:rPr>
              <w:t xml:space="preserve">(14 CFR Part 450), </w:t>
            </w:r>
            <w:r w:rsidR="002F4C6E">
              <w:rPr>
                <w:rFonts w:ascii="Times New Roman" w:eastAsia="Times New Roman" w:hAnsi="Times New Roman" w:cs="Times New Roman"/>
                <w:kern w:val="0"/>
                <w:sz w:val="20"/>
                <w:szCs w:val="20"/>
                <w14:ligatures w14:val="none"/>
              </w:rPr>
              <w:t>and</w:t>
            </w:r>
            <w:r w:rsidR="00B03C15">
              <w:rPr>
                <w:rFonts w:ascii="Times New Roman" w:eastAsia="Times New Roman" w:hAnsi="Times New Roman" w:cs="Times New Roman"/>
                <w:kern w:val="0"/>
                <w:sz w:val="20"/>
                <w:szCs w:val="20"/>
                <w14:ligatures w14:val="none"/>
              </w:rPr>
              <w:t xml:space="preserve"> </w:t>
            </w:r>
            <w:r w:rsidR="001E76AE">
              <w:rPr>
                <w:rFonts w:ascii="Times New Roman" w:eastAsia="Times New Roman" w:hAnsi="Times New Roman" w:cs="Times New Roman"/>
                <w:kern w:val="0"/>
                <w:sz w:val="20"/>
                <w:szCs w:val="20"/>
                <w14:ligatures w14:val="none"/>
              </w:rPr>
              <w:t>“…</w:t>
            </w:r>
            <w:r w:rsidR="001E76AE" w:rsidRPr="001E76AE">
              <w:rPr>
                <w:rFonts w:ascii="Times New Roman" w:eastAsia="Times New Roman" w:hAnsi="Times New Roman" w:cs="Times New Roman"/>
                <w:kern w:val="0"/>
                <w:sz w:val="20"/>
                <w:szCs w:val="20"/>
                <w14:ligatures w14:val="none"/>
              </w:rPr>
              <w:t>protect the public health and safety, safety of property, and national security and foreign policy interests of the United States…”</w:t>
            </w:r>
            <w:r w:rsidR="001E76AE">
              <w:rPr>
                <w:rFonts w:ascii="Times New Roman" w:eastAsia="Times New Roman" w:hAnsi="Times New Roman" w:cs="Times New Roman"/>
                <w:kern w:val="0"/>
                <w:sz w:val="20"/>
                <w:szCs w:val="20"/>
                <w14:ligatures w14:val="none"/>
              </w:rPr>
              <w:t xml:space="preserve"> (51 U.S.C </w:t>
            </w:r>
            <w:r w:rsidR="001E76AE" w:rsidRPr="003F4F90">
              <w:rPr>
                <w:rFonts w:ascii="Times New Roman" w:eastAsia="Times New Roman" w:hAnsi="Times New Roman" w:cs="Times New Roman"/>
                <w:kern w:val="0"/>
                <w:sz w:val="20"/>
                <w:szCs w:val="20"/>
                <w14:ligatures w14:val="none"/>
              </w:rPr>
              <w:t>§</w:t>
            </w:r>
            <w:r w:rsidR="001E76AE">
              <w:rPr>
                <w:rFonts w:ascii="Times New Roman" w:eastAsia="Times New Roman" w:hAnsi="Times New Roman" w:cs="Times New Roman"/>
                <w:kern w:val="0"/>
                <w:sz w:val="20"/>
                <w:szCs w:val="20"/>
                <w14:ligatures w14:val="none"/>
              </w:rPr>
              <w:t xml:space="preserve"> 50901).</w:t>
            </w:r>
          </w:p>
        </w:tc>
      </w:tr>
      <w:tr w:rsidR="001A4693" w:rsidRPr="00DF7FE2" w14:paraId="06435339" w14:textId="77777777" w:rsidTr="00934645">
        <w:trPr>
          <w:tblCellSpacing w:w="15" w:type="dxa"/>
        </w:trPr>
        <w:tc>
          <w:tcPr>
            <w:tcW w:w="2475" w:type="dxa"/>
            <w:tcBorders>
              <w:top w:val="single" w:sz="6" w:space="0" w:color="auto"/>
              <w:left w:val="single" w:sz="6" w:space="0" w:color="auto"/>
              <w:bottom w:val="single" w:sz="6" w:space="0" w:color="auto"/>
              <w:right w:val="single" w:sz="6" w:space="0" w:color="auto"/>
            </w:tcBorders>
            <w:vAlign w:val="center"/>
            <w:hideMark/>
          </w:tcPr>
          <w:p w14:paraId="42163569" w14:textId="0FA548C2"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b/>
                <w:bCs/>
                <w:kern w:val="0"/>
                <w:sz w:val="20"/>
                <w:szCs w:val="20"/>
                <w14:ligatures w14:val="none"/>
              </w:rPr>
              <w:t xml:space="preserve">8. Protect </w:t>
            </w:r>
            <w:r w:rsidR="00D6770E">
              <w:rPr>
                <w:rFonts w:ascii="Times New Roman" w:eastAsia="Times New Roman" w:hAnsi="Times New Roman" w:cs="Times New Roman"/>
                <w:b/>
                <w:bCs/>
                <w:kern w:val="0"/>
                <w:sz w:val="20"/>
                <w:szCs w:val="20"/>
                <w14:ligatures w14:val="none"/>
              </w:rPr>
              <w:t>launch and range r</w:t>
            </w:r>
            <w:r w:rsidRPr="00A251FA">
              <w:rPr>
                <w:rFonts w:ascii="Times New Roman" w:eastAsia="Times New Roman" w:hAnsi="Times New Roman" w:cs="Times New Roman"/>
                <w:b/>
                <w:bCs/>
                <w:kern w:val="0"/>
                <w:sz w:val="20"/>
                <w:szCs w:val="20"/>
                <w14:ligatures w14:val="none"/>
              </w:rPr>
              <w:t>esources</w:t>
            </w:r>
          </w:p>
        </w:tc>
        <w:tc>
          <w:tcPr>
            <w:tcW w:w="6975" w:type="dxa"/>
            <w:tcBorders>
              <w:top w:val="single" w:sz="6" w:space="0" w:color="auto"/>
              <w:left w:val="single" w:sz="6" w:space="0" w:color="auto"/>
              <w:bottom w:val="single" w:sz="6" w:space="0" w:color="auto"/>
              <w:right w:val="single" w:sz="6" w:space="0" w:color="auto"/>
            </w:tcBorders>
            <w:vAlign w:val="center"/>
            <w:hideMark/>
          </w:tcPr>
          <w:p w14:paraId="690BD6FB" w14:textId="7B68F6B5"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kern w:val="0"/>
                <w:sz w:val="20"/>
                <w:szCs w:val="20"/>
                <w14:ligatures w14:val="none"/>
              </w:rPr>
              <w:t>Recognizes that launch sites are targets; both the U</w:t>
            </w:r>
            <w:r w:rsidR="00D6770E">
              <w:rPr>
                <w:rFonts w:ascii="Times New Roman" w:eastAsia="Times New Roman" w:hAnsi="Times New Roman" w:cs="Times New Roman"/>
                <w:kern w:val="0"/>
                <w:sz w:val="20"/>
                <w:szCs w:val="20"/>
                <w14:ligatures w14:val="none"/>
              </w:rPr>
              <w:t>.S. Space Force</w:t>
            </w:r>
            <w:r w:rsidRPr="00A251FA">
              <w:rPr>
                <w:rFonts w:ascii="Times New Roman" w:eastAsia="Times New Roman" w:hAnsi="Times New Roman" w:cs="Times New Roman"/>
                <w:kern w:val="0"/>
                <w:sz w:val="20"/>
                <w:szCs w:val="20"/>
                <w14:ligatures w14:val="none"/>
              </w:rPr>
              <w:t xml:space="preserve"> and commercial partners must actively defend their systems against adversary threats</w:t>
            </w:r>
            <w:r w:rsidR="00DC2C4D">
              <w:rPr>
                <w:rFonts w:ascii="Times New Roman" w:eastAsia="Times New Roman" w:hAnsi="Times New Roman" w:cs="Times New Roman"/>
                <w:kern w:val="0"/>
                <w:sz w:val="20"/>
                <w:szCs w:val="20"/>
                <w14:ligatures w14:val="none"/>
              </w:rPr>
              <w:t xml:space="preserve"> </w:t>
            </w:r>
            <w:r w:rsidR="0005101A">
              <w:rPr>
                <w:rFonts w:ascii="Times New Roman" w:eastAsia="Times New Roman" w:hAnsi="Times New Roman" w:cs="Times New Roman"/>
                <w:kern w:val="0"/>
                <w:sz w:val="20"/>
                <w:szCs w:val="20"/>
                <w14:ligatures w14:val="none"/>
              </w:rPr>
              <w:t>(</w:t>
            </w:r>
            <w:r w:rsidR="0005101A" w:rsidRPr="00BB3B7F">
              <w:rPr>
                <w:rFonts w:ascii="Times New Roman" w:eastAsia="Times New Roman" w:hAnsi="Times New Roman" w:cs="Times New Roman"/>
                <w:kern w:val="0"/>
                <w:sz w:val="20"/>
                <w:szCs w:val="20"/>
                <w14:ligatures w14:val="none"/>
              </w:rPr>
              <w:t>10 U.S.C. § 227</w:t>
            </w:r>
            <w:r w:rsidR="009634FD">
              <w:rPr>
                <w:rFonts w:ascii="Times New Roman" w:eastAsia="Times New Roman" w:hAnsi="Times New Roman" w:cs="Times New Roman"/>
                <w:kern w:val="0"/>
                <w:sz w:val="20"/>
                <w:szCs w:val="20"/>
                <w14:ligatures w14:val="none"/>
              </w:rPr>
              <w:t>1</w:t>
            </w:r>
            <w:r w:rsidR="0005101A">
              <w:rPr>
                <w:rFonts w:ascii="Times New Roman" w:eastAsia="Times New Roman" w:hAnsi="Times New Roman" w:cs="Times New Roman"/>
                <w:kern w:val="0"/>
                <w:sz w:val="20"/>
                <w:szCs w:val="20"/>
                <w14:ligatures w14:val="none"/>
              </w:rPr>
              <w:t xml:space="preserve"> note from Sec. 911 of FY2008 NDAA).</w:t>
            </w:r>
          </w:p>
        </w:tc>
      </w:tr>
      <w:tr w:rsidR="001A4693" w:rsidRPr="00DF7FE2" w14:paraId="23FE366F" w14:textId="77777777" w:rsidTr="00934645">
        <w:trPr>
          <w:tblCellSpacing w:w="15" w:type="dxa"/>
        </w:trPr>
        <w:tc>
          <w:tcPr>
            <w:tcW w:w="2475" w:type="dxa"/>
            <w:tcBorders>
              <w:top w:val="single" w:sz="6" w:space="0" w:color="auto"/>
              <w:left w:val="single" w:sz="6" w:space="0" w:color="auto"/>
              <w:bottom w:val="single" w:sz="6" w:space="0" w:color="auto"/>
              <w:right w:val="single" w:sz="6" w:space="0" w:color="auto"/>
            </w:tcBorders>
            <w:vAlign w:val="center"/>
            <w:hideMark/>
          </w:tcPr>
          <w:p w14:paraId="5FDC64BB" w14:textId="03033A6E" w:rsidR="00A251FA" w:rsidRPr="00A251FA" w:rsidRDefault="00A251FA" w:rsidP="00A251FA">
            <w:pPr>
              <w:spacing w:after="0" w:line="240" w:lineRule="auto"/>
              <w:rPr>
                <w:rFonts w:ascii="Times New Roman" w:eastAsia="Times New Roman" w:hAnsi="Times New Roman" w:cs="Times New Roman"/>
                <w:kern w:val="0"/>
                <w:sz w:val="20"/>
                <w:szCs w:val="20"/>
                <w14:ligatures w14:val="none"/>
              </w:rPr>
            </w:pPr>
            <w:r w:rsidRPr="00A251FA">
              <w:rPr>
                <w:rFonts w:ascii="Times New Roman" w:eastAsia="Times New Roman" w:hAnsi="Times New Roman" w:cs="Times New Roman"/>
                <w:b/>
                <w:bCs/>
                <w:kern w:val="0"/>
                <w:sz w:val="20"/>
                <w:szCs w:val="20"/>
                <w14:ligatures w14:val="none"/>
              </w:rPr>
              <w:t xml:space="preserve">9. </w:t>
            </w:r>
            <w:r w:rsidR="00F44064">
              <w:rPr>
                <w:rFonts w:ascii="Times New Roman" w:eastAsia="Times New Roman" w:hAnsi="Times New Roman" w:cs="Times New Roman"/>
                <w:b/>
                <w:bCs/>
                <w:kern w:val="0"/>
                <w:sz w:val="20"/>
                <w:szCs w:val="20"/>
                <w14:ligatures w14:val="none"/>
              </w:rPr>
              <w:t>Pursue eq</w:t>
            </w:r>
            <w:r w:rsidRPr="00A251FA">
              <w:rPr>
                <w:rFonts w:ascii="Times New Roman" w:eastAsia="Times New Roman" w:hAnsi="Times New Roman" w:cs="Times New Roman"/>
                <w:b/>
                <w:bCs/>
                <w:kern w:val="0"/>
                <w:sz w:val="20"/>
                <w:szCs w:val="20"/>
                <w14:ligatures w14:val="none"/>
              </w:rPr>
              <w:t xml:space="preserve">uitable </w:t>
            </w:r>
            <w:r w:rsidR="00F44064">
              <w:rPr>
                <w:rFonts w:ascii="Times New Roman" w:eastAsia="Times New Roman" w:hAnsi="Times New Roman" w:cs="Times New Roman"/>
                <w:b/>
                <w:bCs/>
                <w:kern w:val="0"/>
                <w:sz w:val="20"/>
                <w:szCs w:val="20"/>
                <w14:ligatures w14:val="none"/>
              </w:rPr>
              <w:t>c</w:t>
            </w:r>
            <w:r w:rsidRPr="00A251FA">
              <w:rPr>
                <w:rFonts w:ascii="Times New Roman" w:eastAsia="Times New Roman" w:hAnsi="Times New Roman" w:cs="Times New Roman"/>
                <w:b/>
                <w:bCs/>
                <w:kern w:val="0"/>
                <w:sz w:val="20"/>
                <w:szCs w:val="20"/>
                <w14:ligatures w14:val="none"/>
              </w:rPr>
              <w:t>ost</w:t>
            </w:r>
            <w:r w:rsidR="00F44064">
              <w:rPr>
                <w:rFonts w:ascii="Times New Roman" w:eastAsia="Times New Roman" w:hAnsi="Times New Roman" w:cs="Times New Roman"/>
                <w:b/>
                <w:bCs/>
                <w:kern w:val="0"/>
                <w:sz w:val="20"/>
                <w:szCs w:val="20"/>
                <w14:ligatures w14:val="none"/>
              </w:rPr>
              <w:t xml:space="preserve"> s</w:t>
            </w:r>
            <w:r w:rsidRPr="00A251FA">
              <w:rPr>
                <w:rFonts w:ascii="Times New Roman" w:eastAsia="Times New Roman" w:hAnsi="Times New Roman" w:cs="Times New Roman"/>
                <w:b/>
                <w:bCs/>
                <w:kern w:val="0"/>
                <w:sz w:val="20"/>
                <w:szCs w:val="20"/>
                <w14:ligatures w14:val="none"/>
              </w:rPr>
              <w:t>haring</w:t>
            </w:r>
            <w:r w:rsidR="00E9403B">
              <w:rPr>
                <w:rFonts w:ascii="Times New Roman" w:eastAsia="Times New Roman" w:hAnsi="Times New Roman" w:cs="Times New Roman"/>
                <w:b/>
                <w:bCs/>
                <w:kern w:val="0"/>
                <w:sz w:val="20"/>
                <w:szCs w:val="20"/>
                <w14:ligatures w14:val="none"/>
              </w:rPr>
              <w:t xml:space="preserve"> arrangements with industry</w:t>
            </w:r>
          </w:p>
        </w:tc>
        <w:tc>
          <w:tcPr>
            <w:tcW w:w="6975" w:type="dxa"/>
            <w:tcBorders>
              <w:top w:val="single" w:sz="6" w:space="0" w:color="auto"/>
              <w:left w:val="single" w:sz="6" w:space="0" w:color="auto"/>
              <w:bottom w:val="single" w:sz="6" w:space="0" w:color="auto"/>
              <w:right w:val="single" w:sz="6" w:space="0" w:color="auto"/>
            </w:tcBorders>
            <w:vAlign w:val="center"/>
            <w:hideMark/>
          </w:tcPr>
          <w:p w14:paraId="25114E86" w14:textId="50F3F1AF" w:rsidR="00A251FA" w:rsidRPr="00A251FA" w:rsidRDefault="00B74494" w:rsidP="00A251FA">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w:t>
            </w:r>
            <w:r w:rsidRPr="00B74494">
              <w:rPr>
                <w:rFonts w:ascii="Times New Roman" w:eastAsia="Times New Roman" w:hAnsi="Times New Roman" w:cs="Times New Roman"/>
                <w:kern w:val="0"/>
                <w:sz w:val="20"/>
                <w:szCs w:val="20"/>
                <w14:ligatures w14:val="none"/>
              </w:rPr>
              <w:t xml:space="preserve">he </w:t>
            </w:r>
            <w:r>
              <w:rPr>
                <w:rFonts w:ascii="Times New Roman" w:eastAsia="Times New Roman" w:hAnsi="Times New Roman" w:cs="Times New Roman"/>
                <w:kern w:val="0"/>
                <w:sz w:val="20"/>
                <w:szCs w:val="20"/>
                <w14:ligatures w14:val="none"/>
              </w:rPr>
              <w:t>federal g</w:t>
            </w:r>
            <w:r w:rsidRPr="00B74494">
              <w:rPr>
                <w:rFonts w:ascii="Times New Roman" w:eastAsia="Times New Roman" w:hAnsi="Times New Roman" w:cs="Times New Roman"/>
                <w:kern w:val="0"/>
                <w:sz w:val="20"/>
                <w:szCs w:val="20"/>
                <w14:ligatures w14:val="none"/>
              </w:rPr>
              <w:t xml:space="preserve">overnment </w:t>
            </w:r>
            <w:r>
              <w:rPr>
                <w:rFonts w:ascii="Times New Roman" w:eastAsia="Times New Roman" w:hAnsi="Times New Roman" w:cs="Times New Roman"/>
                <w:kern w:val="0"/>
                <w:sz w:val="20"/>
                <w:szCs w:val="20"/>
                <w14:ligatures w14:val="none"/>
              </w:rPr>
              <w:t xml:space="preserve">is no longer </w:t>
            </w:r>
            <w:r w:rsidRPr="00B74494">
              <w:rPr>
                <w:rFonts w:ascii="Times New Roman" w:eastAsia="Times New Roman" w:hAnsi="Times New Roman" w:cs="Times New Roman"/>
                <w:kern w:val="0"/>
                <w:sz w:val="20"/>
                <w:szCs w:val="20"/>
                <w14:ligatures w14:val="none"/>
              </w:rPr>
              <w:t>the anchor customer</w:t>
            </w:r>
            <w:r>
              <w:rPr>
                <w:rFonts w:ascii="Times New Roman" w:eastAsia="Times New Roman" w:hAnsi="Times New Roman" w:cs="Times New Roman"/>
                <w:kern w:val="0"/>
                <w:sz w:val="20"/>
                <w:szCs w:val="20"/>
                <w14:ligatures w14:val="none"/>
              </w:rPr>
              <w:t xml:space="preserve"> for the U.S. space launch industry</w:t>
            </w:r>
            <w:r w:rsidR="002A75DE">
              <w:rPr>
                <w:rFonts w:ascii="Times New Roman" w:eastAsia="Times New Roman" w:hAnsi="Times New Roman" w:cs="Times New Roman"/>
                <w:kern w:val="0"/>
                <w:sz w:val="20"/>
                <w:szCs w:val="20"/>
                <w14:ligatures w14:val="none"/>
              </w:rPr>
              <w:t xml:space="preserve">; </w:t>
            </w:r>
            <w:r w:rsidRPr="00B74494">
              <w:rPr>
                <w:rFonts w:ascii="Times New Roman" w:eastAsia="Times New Roman" w:hAnsi="Times New Roman" w:cs="Times New Roman"/>
                <w:kern w:val="0"/>
                <w:sz w:val="20"/>
                <w:szCs w:val="20"/>
                <w14:ligatures w14:val="none"/>
              </w:rPr>
              <w:t>commercial payloads account for the preponderance of launch manifest activities</w:t>
            </w:r>
            <w:r w:rsidR="00640834">
              <w:rPr>
                <w:rFonts w:ascii="Times New Roman" w:eastAsia="Times New Roman" w:hAnsi="Times New Roman" w:cs="Times New Roman"/>
                <w:kern w:val="0"/>
                <w:sz w:val="20"/>
                <w:szCs w:val="20"/>
                <w14:ligatures w14:val="none"/>
              </w:rPr>
              <w:t xml:space="preserve">. Historically, the </w:t>
            </w:r>
            <w:r w:rsidR="0098076F">
              <w:rPr>
                <w:rFonts w:ascii="Times New Roman" w:eastAsia="Times New Roman" w:hAnsi="Times New Roman" w:cs="Times New Roman"/>
                <w:kern w:val="0"/>
                <w:sz w:val="20"/>
                <w:szCs w:val="20"/>
                <w14:ligatures w14:val="none"/>
              </w:rPr>
              <w:t xml:space="preserve">DoD </w:t>
            </w:r>
            <w:r w:rsidR="00640834">
              <w:rPr>
                <w:rFonts w:ascii="Times New Roman" w:eastAsia="Times New Roman" w:hAnsi="Times New Roman" w:cs="Times New Roman"/>
                <w:kern w:val="0"/>
                <w:sz w:val="20"/>
                <w:szCs w:val="20"/>
                <w14:ligatures w14:val="none"/>
              </w:rPr>
              <w:t xml:space="preserve">has </w:t>
            </w:r>
            <w:r w:rsidR="00735F02">
              <w:rPr>
                <w:rFonts w:ascii="Times New Roman" w:eastAsia="Times New Roman" w:hAnsi="Times New Roman" w:cs="Times New Roman"/>
                <w:kern w:val="0"/>
                <w:sz w:val="20"/>
                <w:szCs w:val="20"/>
                <w14:ligatures w14:val="none"/>
              </w:rPr>
              <w:t>charge</w:t>
            </w:r>
            <w:r w:rsidR="00640834">
              <w:rPr>
                <w:rFonts w:ascii="Times New Roman" w:eastAsia="Times New Roman" w:hAnsi="Times New Roman" w:cs="Times New Roman"/>
                <w:kern w:val="0"/>
                <w:sz w:val="20"/>
                <w:szCs w:val="20"/>
                <w14:ligatures w14:val="none"/>
              </w:rPr>
              <w:t>d</w:t>
            </w:r>
            <w:r w:rsidR="00735F02">
              <w:rPr>
                <w:rFonts w:ascii="Times New Roman" w:eastAsia="Times New Roman" w:hAnsi="Times New Roman" w:cs="Times New Roman"/>
                <w:kern w:val="0"/>
                <w:sz w:val="20"/>
                <w:szCs w:val="20"/>
                <w14:ligatures w14:val="none"/>
              </w:rPr>
              <w:t xml:space="preserve"> commercial entities for direct costs associated with launch facilit</w:t>
            </w:r>
            <w:r w:rsidR="00F15132">
              <w:rPr>
                <w:rFonts w:ascii="Times New Roman" w:eastAsia="Times New Roman" w:hAnsi="Times New Roman" w:cs="Times New Roman"/>
                <w:kern w:val="0"/>
                <w:sz w:val="20"/>
                <w:szCs w:val="20"/>
                <w14:ligatures w14:val="none"/>
              </w:rPr>
              <w:t>y use (</w:t>
            </w:r>
            <w:r w:rsidR="00F15132" w:rsidRPr="00BB3B7F">
              <w:rPr>
                <w:rFonts w:ascii="Times New Roman" w:eastAsia="Times New Roman" w:hAnsi="Times New Roman" w:cs="Times New Roman"/>
                <w:kern w:val="0"/>
                <w:sz w:val="20"/>
                <w:szCs w:val="20"/>
                <w14:ligatures w14:val="none"/>
              </w:rPr>
              <w:t>10 U.S.C. § 227</w:t>
            </w:r>
            <w:r w:rsidR="00F15132">
              <w:rPr>
                <w:rFonts w:ascii="Times New Roman" w:eastAsia="Times New Roman" w:hAnsi="Times New Roman" w:cs="Times New Roman"/>
                <w:kern w:val="0"/>
                <w:sz w:val="20"/>
                <w:szCs w:val="20"/>
                <w14:ligatures w14:val="none"/>
              </w:rPr>
              <w:t>6a)</w:t>
            </w:r>
            <w:r w:rsidR="00735F02">
              <w:rPr>
                <w:rFonts w:ascii="Times New Roman" w:eastAsia="Times New Roman" w:hAnsi="Times New Roman" w:cs="Times New Roman"/>
                <w:kern w:val="0"/>
                <w:sz w:val="20"/>
                <w:szCs w:val="20"/>
                <w14:ligatures w14:val="none"/>
              </w:rPr>
              <w:t xml:space="preserve">, </w:t>
            </w:r>
            <w:r w:rsidR="00F15132">
              <w:rPr>
                <w:rFonts w:ascii="Times New Roman" w:eastAsia="Times New Roman" w:hAnsi="Times New Roman" w:cs="Times New Roman"/>
                <w:kern w:val="0"/>
                <w:sz w:val="20"/>
                <w:szCs w:val="20"/>
                <w14:ligatures w14:val="none"/>
              </w:rPr>
              <w:t>the FY2024 NDAA</w:t>
            </w:r>
            <w:r w:rsidR="00735F02">
              <w:rPr>
                <w:rFonts w:ascii="Times New Roman" w:eastAsia="Times New Roman" w:hAnsi="Times New Roman" w:cs="Times New Roman"/>
                <w:kern w:val="0"/>
                <w:sz w:val="20"/>
                <w:szCs w:val="20"/>
                <w14:ligatures w14:val="none"/>
              </w:rPr>
              <w:t xml:space="preserve"> authorizes the DoD to charge for indirect costs (FY2024 NDAA).</w:t>
            </w:r>
          </w:p>
        </w:tc>
      </w:tr>
    </w:tbl>
    <w:p w14:paraId="4D109C32" w14:textId="77777777" w:rsidR="00C91177" w:rsidRDefault="00C91177" w:rsidP="002F32CA">
      <w:pPr>
        <w:pStyle w:val="ListParagraph"/>
        <w:widowControl w:val="0"/>
        <w:tabs>
          <w:tab w:val="left" w:pos="270"/>
        </w:tabs>
        <w:autoSpaceDE w:val="0"/>
        <w:autoSpaceDN w:val="0"/>
        <w:spacing w:after="0" w:line="259" w:lineRule="auto"/>
        <w:ind w:left="0"/>
        <w:contextualSpacing w:val="0"/>
        <w:rPr>
          <w:bCs/>
        </w:rPr>
      </w:pPr>
    </w:p>
    <w:p w14:paraId="0F139D7C" w14:textId="2BF35EA2" w:rsidR="00D16F02" w:rsidRDefault="00D16F02" w:rsidP="00D16F02">
      <w:pPr>
        <w:pStyle w:val="ListParagraph"/>
        <w:widowControl w:val="0"/>
        <w:tabs>
          <w:tab w:val="left" w:pos="270"/>
        </w:tabs>
        <w:autoSpaceDE w:val="0"/>
        <w:autoSpaceDN w:val="0"/>
        <w:spacing w:after="0" w:line="259" w:lineRule="auto"/>
        <w:ind w:left="0"/>
        <w:contextualSpacing w:val="0"/>
        <w:rPr>
          <w:bCs/>
        </w:rPr>
      </w:pPr>
      <w:r>
        <w:rPr>
          <w:bCs/>
        </w:rPr>
        <w:tab/>
      </w:r>
      <w:r>
        <w:rPr>
          <w:bCs/>
        </w:rPr>
        <w:tab/>
        <w:t xml:space="preserve"> </w:t>
      </w:r>
    </w:p>
    <w:p w14:paraId="564ACFD2" w14:textId="77777777" w:rsidR="00D16F02" w:rsidRDefault="00D16F02" w:rsidP="00FF1422">
      <w:pPr>
        <w:pStyle w:val="ListParagraph"/>
        <w:widowControl w:val="0"/>
        <w:tabs>
          <w:tab w:val="left" w:pos="270"/>
        </w:tabs>
        <w:autoSpaceDE w:val="0"/>
        <w:autoSpaceDN w:val="0"/>
        <w:spacing w:after="0" w:line="259" w:lineRule="auto"/>
        <w:ind w:left="0"/>
        <w:contextualSpacing w:val="0"/>
        <w:rPr>
          <w:b/>
        </w:rPr>
      </w:pPr>
    </w:p>
    <w:p w14:paraId="42AAA569" w14:textId="77777777" w:rsidR="0010176D" w:rsidRDefault="0010176D">
      <w:pPr>
        <w:rPr>
          <w:b/>
        </w:rPr>
      </w:pPr>
      <w:r>
        <w:rPr>
          <w:b/>
        </w:rPr>
        <w:br w:type="page"/>
      </w:r>
    </w:p>
    <w:p w14:paraId="1602082E" w14:textId="5A5351E9" w:rsidR="00911481" w:rsidRPr="007931E5" w:rsidRDefault="00FF1422" w:rsidP="00350E78">
      <w:pPr>
        <w:pStyle w:val="Heading1"/>
        <w:spacing w:after="360"/>
        <w:rPr>
          <w:rFonts w:ascii="Times New Roman" w:hAnsi="Times New Roman" w:cs="Times New Roman"/>
          <w:b/>
          <w:bCs/>
          <w:color w:val="auto"/>
          <w:sz w:val="32"/>
          <w:szCs w:val="32"/>
        </w:rPr>
      </w:pPr>
      <w:bookmarkStart w:id="11" w:name="_Toc227163558"/>
      <w:r w:rsidRPr="007931E5">
        <w:rPr>
          <w:rFonts w:ascii="Times New Roman" w:hAnsi="Times New Roman" w:cs="Times New Roman"/>
          <w:b/>
          <w:bCs/>
          <w:color w:val="auto"/>
          <w:sz w:val="32"/>
          <w:szCs w:val="32"/>
        </w:rPr>
        <w:lastRenderedPageBreak/>
        <w:t xml:space="preserve">Implementing </w:t>
      </w:r>
      <w:r w:rsidR="003068DB" w:rsidRPr="007931E5">
        <w:rPr>
          <w:rFonts w:ascii="Times New Roman" w:hAnsi="Times New Roman" w:cs="Times New Roman"/>
          <w:b/>
          <w:bCs/>
          <w:color w:val="auto"/>
          <w:sz w:val="32"/>
          <w:szCs w:val="32"/>
        </w:rPr>
        <w:t>AFSS</w:t>
      </w:r>
      <w:r w:rsidR="004F58D5" w:rsidRPr="007931E5">
        <w:rPr>
          <w:rFonts w:ascii="Times New Roman" w:hAnsi="Times New Roman" w:cs="Times New Roman"/>
          <w:b/>
          <w:bCs/>
          <w:color w:val="auto"/>
          <w:sz w:val="32"/>
          <w:szCs w:val="32"/>
        </w:rPr>
        <w:t>: A</w:t>
      </w:r>
      <w:r w:rsidRPr="007931E5">
        <w:rPr>
          <w:rFonts w:ascii="Times New Roman" w:hAnsi="Times New Roman" w:cs="Times New Roman"/>
          <w:b/>
          <w:bCs/>
          <w:color w:val="auto"/>
          <w:sz w:val="32"/>
          <w:szCs w:val="32"/>
        </w:rPr>
        <w:t xml:space="preserve"> Challenge to Overcome</w:t>
      </w:r>
      <w:bookmarkEnd w:id="11"/>
      <w:r w:rsidR="00911481" w:rsidRPr="007931E5">
        <w:rPr>
          <w:rFonts w:ascii="Times New Roman" w:hAnsi="Times New Roman" w:cs="Times New Roman"/>
          <w:b/>
          <w:bCs/>
          <w:color w:val="auto"/>
          <w:sz w:val="32"/>
          <w:szCs w:val="32"/>
        </w:rPr>
        <w:t xml:space="preserve"> </w:t>
      </w:r>
    </w:p>
    <w:p w14:paraId="62B42224" w14:textId="4F4D6884" w:rsidR="00D05BF2" w:rsidRDefault="00350E78"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911481" w:rsidRPr="0010176D">
        <w:rPr>
          <w:rFonts w:ascii="Times New Roman" w:hAnsi="Times New Roman" w:cs="Times New Roman"/>
          <w:bCs/>
        </w:rPr>
        <w:t xml:space="preserve">When considering the nine principles for space access, it is clear to see that </w:t>
      </w:r>
      <w:r w:rsidR="008D387A" w:rsidRPr="0010176D">
        <w:rPr>
          <w:rFonts w:ascii="Times New Roman" w:hAnsi="Times New Roman" w:cs="Times New Roman"/>
          <w:bCs/>
        </w:rPr>
        <w:t>th</w:t>
      </w:r>
      <w:r w:rsidR="00B2093D" w:rsidRPr="0010176D">
        <w:rPr>
          <w:rFonts w:ascii="Times New Roman" w:hAnsi="Times New Roman" w:cs="Times New Roman"/>
          <w:bCs/>
        </w:rPr>
        <w:t>ey</w:t>
      </w:r>
      <w:r w:rsidR="00911481" w:rsidRPr="0010176D">
        <w:rPr>
          <w:rFonts w:ascii="Times New Roman" w:hAnsi="Times New Roman" w:cs="Times New Roman"/>
          <w:bCs/>
        </w:rPr>
        <w:t xml:space="preserve"> are d</w:t>
      </w:r>
      <w:r w:rsidR="008A3406" w:rsidRPr="0010176D">
        <w:rPr>
          <w:rFonts w:ascii="Times New Roman" w:hAnsi="Times New Roman" w:cs="Times New Roman"/>
          <w:bCs/>
        </w:rPr>
        <w:t xml:space="preserve">erived from a </w:t>
      </w:r>
      <w:r w:rsidR="00911481" w:rsidRPr="0010176D">
        <w:rPr>
          <w:rFonts w:ascii="Times New Roman" w:hAnsi="Times New Roman" w:cs="Times New Roman"/>
          <w:bCs/>
        </w:rPr>
        <w:t xml:space="preserve">vast array of </w:t>
      </w:r>
      <w:r w:rsidR="003E4C45" w:rsidRPr="0010176D">
        <w:rPr>
          <w:rFonts w:ascii="Times New Roman" w:hAnsi="Times New Roman" w:cs="Times New Roman"/>
          <w:bCs/>
        </w:rPr>
        <w:t>legislation</w:t>
      </w:r>
      <w:r w:rsidR="00911481" w:rsidRPr="0010176D">
        <w:rPr>
          <w:rFonts w:ascii="Times New Roman" w:hAnsi="Times New Roman" w:cs="Times New Roman"/>
          <w:bCs/>
        </w:rPr>
        <w:t xml:space="preserve"> and federal regulations.</w:t>
      </w:r>
      <w:r w:rsidR="00AB34FE" w:rsidRPr="0010176D">
        <w:rPr>
          <w:rFonts w:ascii="Times New Roman" w:hAnsi="Times New Roman" w:cs="Times New Roman"/>
          <w:bCs/>
        </w:rPr>
        <w:t xml:space="preserve"> What might not be as clear is the </w:t>
      </w:r>
      <w:r w:rsidR="008D3E3B" w:rsidRPr="0010176D">
        <w:rPr>
          <w:rFonts w:ascii="Times New Roman" w:hAnsi="Times New Roman" w:cs="Times New Roman"/>
          <w:bCs/>
        </w:rPr>
        <w:t xml:space="preserve">gradual and sometimes </w:t>
      </w:r>
      <w:r w:rsidR="00BB6A35" w:rsidRPr="0010176D">
        <w:rPr>
          <w:rFonts w:ascii="Times New Roman" w:hAnsi="Times New Roman" w:cs="Times New Roman"/>
          <w:bCs/>
        </w:rPr>
        <w:t>unpredictable</w:t>
      </w:r>
      <w:r w:rsidR="00034E91" w:rsidRPr="0010176D">
        <w:rPr>
          <w:rFonts w:ascii="Times New Roman" w:hAnsi="Times New Roman" w:cs="Times New Roman"/>
          <w:bCs/>
        </w:rPr>
        <w:t xml:space="preserve"> nature in which the legislation and federal regulations changed throughout the 2000s.</w:t>
      </w:r>
      <w:r w:rsidR="0088300B" w:rsidRPr="0010176D">
        <w:rPr>
          <w:rFonts w:ascii="Times New Roman" w:hAnsi="Times New Roman" w:cs="Times New Roman"/>
          <w:bCs/>
        </w:rPr>
        <w:t xml:space="preserve"> </w:t>
      </w:r>
      <w:r w:rsidR="00AA4957" w:rsidRPr="0010176D">
        <w:rPr>
          <w:rFonts w:ascii="Times New Roman" w:hAnsi="Times New Roman" w:cs="Times New Roman"/>
          <w:bCs/>
        </w:rPr>
        <w:t xml:space="preserve">This gradual nature </w:t>
      </w:r>
      <w:r w:rsidR="00E73143" w:rsidRPr="0010176D">
        <w:rPr>
          <w:rFonts w:ascii="Times New Roman" w:hAnsi="Times New Roman" w:cs="Times New Roman"/>
          <w:bCs/>
        </w:rPr>
        <w:t xml:space="preserve">presented challenges that the U.S. Space Force worked to overcome. </w:t>
      </w:r>
      <w:r w:rsidR="00D05BF2" w:rsidRPr="00D05BF2">
        <w:rPr>
          <w:rFonts w:ascii="Times New Roman" w:hAnsi="Times New Roman" w:cs="Times New Roman"/>
          <w:bCs/>
        </w:rPr>
        <w:t>While many aspects of the launch enterprise were affected by this gradual evolution in policy and regulation, the transition to autonomous flight safety systems (AFSS) stands out as one of the most consequential and widely cited examples.</w:t>
      </w:r>
    </w:p>
    <w:p w14:paraId="7820E140" w14:textId="512B2E93" w:rsidR="00207C36" w:rsidRPr="0010176D" w:rsidRDefault="00CC74EF"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tab/>
      </w:r>
      <w:r w:rsidRPr="0010176D">
        <w:rPr>
          <w:rFonts w:ascii="Times New Roman" w:hAnsi="Times New Roman" w:cs="Times New Roman"/>
          <w:bCs/>
        </w:rPr>
        <w:tab/>
      </w:r>
      <w:r w:rsidR="00153BD3" w:rsidRPr="0010176D">
        <w:rPr>
          <w:rFonts w:ascii="Times New Roman" w:hAnsi="Times New Roman" w:cs="Times New Roman"/>
          <w:bCs/>
        </w:rPr>
        <w:t>B</w:t>
      </w:r>
      <w:r w:rsidR="009D64F0" w:rsidRPr="0010176D">
        <w:rPr>
          <w:rFonts w:ascii="Times New Roman" w:hAnsi="Times New Roman" w:cs="Times New Roman"/>
          <w:bCs/>
        </w:rPr>
        <w:t xml:space="preserve">oth the U.S. Space Force and the </w:t>
      </w:r>
      <w:r w:rsidR="00212505" w:rsidRPr="0010176D">
        <w:rPr>
          <w:rFonts w:ascii="Times New Roman" w:hAnsi="Times New Roman" w:cs="Times New Roman"/>
          <w:bCs/>
        </w:rPr>
        <w:t xml:space="preserve">National Aeronautics and Space Administration (NASA) mandated </w:t>
      </w:r>
      <w:r w:rsidR="001978A4" w:rsidRPr="0010176D">
        <w:rPr>
          <w:rFonts w:ascii="Times New Roman" w:hAnsi="Times New Roman" w:cs="Times New Roman"/>
          <w:bCs/>
        </w:rPr>
        <w:t xml:space="preserve">launch service providers </w:t>
      </w:r>
      <w:r w:rsidR="00B04A06" w:rsidRPr="0010176D">
        <w:rPr>
          <w:rFonts w:ascii="Times New Roman" w:hAnsi="Times New Roman" w:cs="Times New Roman"/>
          <w:bCs/>
        </w:rPr>
        <w:t>transition</w:t>
      </w:r>
      <w:r w:rsidR="00A53C8B" w:rsidRPr="0010176D">
        <w:rPr>
          <w:rFonts w:ascii="Times New Roman" w:hAnsi="Times New Roman" w:cs="Times New Roman"/>
          <w:bCs/>
        </w:rPr>
        <w:t xml:space="preserve"> to </w:t>
      </w:r>
      <w:r w:rsidR="008335EA" w:rsidRPr="0010176D">
        <w:rPr>
          <w:rFonts w:ascii="Times New Roman" w:hAnsi="Times New Roman" w:cs="Times New Roman"/>
          <w:bCs/>
        </w:rPr>
        <w:t>AFSS</w:t>
      </w:r>
      <w:r w:rsidR="00C76383" w:rsidRPr="0010176D">
        <w:rPr>
          <w:rFonts w:ascii="Times New Roman" w:hAnsi="Times New Roman" w:cs="Times New Roman"/>
          <w:bCs/>
        </w:rPr>
        <w:t xml:space="preserve"> (</w:t>
      </w:r>
      <w:r w:rsidR="00B8539C" w:rsidRPr="0010176D">
        <w:rPr>
          <w:rFonts w:ascii="Times New Roman" w:hAnsi="Times New Roman" w:cs="Times New Roman"/>
          <w:bCs/>
        </w:rPr>
        <w:t xml:space="preserve">also called autonomous flight </w:t>
      </w:r>
      <w:r w:rsidR="00382091">
        <w:rPr>
          <w:rFonts w:ascii="Times New Roman" w:hAnsi="Times New Roman" w:cs="Times New Roman"/>
          <w:bCs/>
        </w:rPr>
        <w:t>termination</w:t>
      </w:r>
      <w:r w:rsidR="00B8539C" w:rsidRPr="0010176D">
        <w:rPr>
          <w:rFonts w:ascii="Times New Roman" w:hAnsi="Times New Roman" w:cs="Times New Roman"/>
          <w:bCs/>
        </w:rPr>
        <w:t xml:space="preserve"> system</w:t>
      </w:r>
      <w:r w:rsidR="00382091">
        <w:rPr>
          <w:rFonts w:ascii="Times New Roman" w:hAnsi="Times New Roman" w:cs="Times New Roman"/>
          <w:bCs/>
        </w:rPr>
        <w:t>, or AFTS</w:t>
      </w:r>
      <w:r w:rsidR="00B8539C" w:rsidRPr="0010176D">
        <w:rPr>
          <w:rFonts w:ascii="Times New Roman" w:hAnsi="Times New Roman" w:cs="Times New Roman"/>
          <w:bCs/>
        </w:rPr>
        <w:t xml:space="preserve">) </w:t>
      </w:r>
      <w:r w:rsidR="00A53C8B" w:rsidRPr="0010176D">
        <w:rPr>
          <w:rFonts w:ascii="Times New Roman" w:hAnsi="Times New Roman" w:cs="Times New Roman"/>
          <w:bCs/>
        </w:rPr>
        <w:t xml:space="preserve">and away </w:t>
      </w:r>
      <w:r w:rsidR="008335EA" w:rsidRPr="0010176D">
        <w:rPr>
          <w:rFonts w:ascii="Times New Roman" w:hAnsi="Times New Roman" w:cs="Times New Roman"/>
          <w:bCs/>
        </w:rPr>
        <w:t xml:space="preserve">traditional </w:t>
      </w:r>
      <w:r w:rsidR="00A53C8B" w:rsidRPr="0010176D">
        <w:rPr>
          <w:rFonts w:ascii="Times New Roman" w:hAnsi="Times New Roman" w:cs="Times New Roman"/>
          <w:bCs/>
        </w:rPr>
        <w:t xml:space="preserve">manual flight termination systems. </w:t>
      </w:r>
      <w:r w:rsidR="00B8539C" w:rsidRPr="0010176D">
        <w:rPr>
          <w:rFonts w:ascii="Times New Roman" w:hAnsi="Times New Roman" w:cs="Times New Roman"/>
          <w:bCs/>
        </w:rPr>
        <w:t xml:space="preserve">The transition </w:t>
      </w:r>
      <w:r w:rsidR="008335EA" w:rsidRPr="0010176D">
        <w:rPr>
          <w:rFonts w:ascii="Times New Roman" w:hAnsi="Times New Roman" w:cs="Times New Roman"/>
          <w:bCs/>
        </w:rPr>
        <w:t xml:space="preserve">to AFSS </w:t>
      </w:r>
      <w:r w:rsidR="00B8539C" w:rsidRPr="0010176D">
        <w:rPr>
          <w:rFonts w:ascii="Times New Roman" w:hAnsi="Times New Roman" w:cs="Times New Roman"/>
          <w:bCs/>
        </w:rPr>
        <w:t xml:space="preserve">was and remains </w:t>
      </w:r>
      <w:r w:rsidR="00C420C3" w:rsidRPr="0010176D">
        <w:rPr>
          <w:rFonts w:ascii="Times New Roman" w:hAnsi="Times New Roman" w:cs="Times New Roman"/>
          <w:bCs/>
        </w:rPr>
        <w:t xml:space="preserve">crucial for an increased launch cadence </w:t>
      </w:r>
      <w:r w:rsidR="008E33A3" w:rsidRPr="0010176D">
        <w:rPr>
          <w:rFonts w:ascii="Times New Roman" w:hAnsi="Times New Roman" w:cs="Times New Roman"/>
          <w:bCs/>
        </w:rPr>
        <w:t>by</w:t>
      </w:r>
      <w:r w:rsidR="00C420C3" w:rsidRPr="0010176D">
        <w:rPr>
          <w:rFonts w:ascii="Times New Roman" w:hAnsi="Times New Roman" w:cs="Times New Roman"/>
          <w:bCs/>
        </w:rPr>
        <w:t xml:space="preserve"> saving considerable time and </w:t>
      </w:r>
      <w:r w:rsidR="0094044F" w:rsidRPr="0010176D">
        <w:rPr>
          <w:rFonts w:ascii="Times New Roman" w:hAnsi="Times New Roman" w:cs="Times New Roman"/>
          <w:bCs/>
        </w:rPr>
        <w:t>reducing manpower constraints during launch operations. B</w:t>
      </w:r>
      <w:r w:rsidR="00C420C3" w:rsidRPr="0010176D">
        <w:rPr>
          <w:rFonts w:ascii="Times New Roman" w:hAnsi="Times New Roman" w:cs="Times New Roman"/>
          <w:bCs/>
        </w:rPr>
        <w:t>ut the</w:t>
      </w:r>
      <w:r w:rsidR="00EC7B61" w:rsidRPr="0010176D">
        <w:rPr>
          <w:rFonts w:ascii="Times New Roman" w:hAnsi="Times New Roman" w:cs="Times New Roman"/>
          <w:bCs/>
        </w:rPr>
        <w:t xml:space="preserve"> transition was </w:t>
      </w:r>
      <w:r w:rsidR="00080D80" w:rsidRPr="0010176D">
        <w:rPr>
          <w:rFonts w:ascii="Times New Roman" w:hAnsi="Times New Roman" w:cs="Times New Roman"/>
          <w:bCs/>
        </w:rPr>
        <w:t xml:space="preserve">a long-term, multi-decade effort before widespread adoption. </w:t>
      </w:r>
      <w:r w:rsidR="009F0E7E" w:rsidRPr="0010176D">
        <w:rPr>
          <w:rFonts w:ascii="Times New Roman" w:hAnsi="Times New Roman" w:cs="Times New Roman"/>
          <w:bCs/>
        </w:rPr>
        <w:t xml:space="preserve">Initially studied in the early 2000s, </w:t>
      </w:r>
      <w:r w:rsidR="00283C9C" w:rsidRPr="0010176D">
        <w:rPr>
          <w:rFonts w:ascii="Times New Roman" w:hAnsi="Times New Roman" w:cs="Times New Roman"/>
          <w:bCs/>
        </w:rPr>
        <w:t xml:space="preserve">it wasn’t until the mid-2010s when ATK and SpaceX first demonstrated </w:t>
      </w:r>
      <w:r w:rsidR="003271E3" w:rsidRPr="0010176D">
        <w:rPr>
          <w:rFonts w:ascii="Times New Roman" w:hAnsi="Times New Roman" w:cs="Times New Roman"/>
          <w:bCs/>
        </w:rPr>
        <w:t xml:space="preserve">their </w:t>
      </w:r>
      <w:r w:rsidR="00283C9C" w:rsidRPr="0010176D">
        <w:rPr>
          <w:rFonts w:ascii="Times New Roman" w:hAnsi="Times New Roman" w:cs="Times New Roman"/>
          <w:bCs/>
        </w:rPr>
        <w:t>AFSS</w:t>
      </w:r>
      <w:r w:rsidR="003271E3" w:rsidRPr="0010176D">
        <w:rPr>
          <w:rFonts w:ascii="Times New Roman" w:hAnsi="Times New Roman" w:cs="Times New Roman"/>
          <w:bCs/>
        </w:rPr>
        <w:t xml:space="preserve"> solutions at Wallops and Cape Canaveral, respectively.</w:t>
      </w:r>
      <w:r w:rsidR="00F238EB" w:rsidRPr="0010176D">
        <w:rPr>
          <w:rStyle w:val="FootnoteReference"/>
          <w:rFonts w:ascii="Times New Roman" w:hAnsi="Times New Roman" w:cs="Times New Roman"/>
          <w:bCs/>
        </w:rPr>
        <w:footnoteReference w:id="21"/>
      </w:r>
      <w:r w:rsidR="00283C9C" w:rsidRPr="0010176D">
        <w:rPr>
          <w:rFonts w:ascii="Times New Roman" w:hAnsi="Times New Roman" w:cs="Times New Roman"/>
          <w:bCs/>
        </w:rPr>
        <w:t xml:space="preserve"> </w:t>
      </w:r>
      <w:r w:rsidR="00D41960" w:rsidRPr="0010176D">
        <w:rPr>
          <w:rFonts w:ascii="Times New Roman" w:hAnsi="Times New Roman" w:cs="Times New Roman"/>
          <w:bCs/>
        </w:rPr>
        <w:t>In</w:t>
      </w:r>
      <w:r w:rsidR="005317C1" w:rsidRPr="0010176D">
        <w:rPr>
          <w:rFonts w:ascii="Times New Roman" w:hAnsi="Times New Roman" w:cs="Times New Roman"/>
          <w:bCs/>
        </w:rPr>
        <w:t xml:space="preserve"> 2019, U.S. Space Force leadership </w:t>
      </w:r>
      <w:r w:rsidR="00891A74" w:rsidRPr="0010176D">
        <w:rPr>
          <w:rFonts w:ascii="Times New Roman" w:hAnsi="Times New Roman" w:cs="Times New Roman"/>
          <w:bCs/>
        </w:rPr>
        <w:t xml:space="preserve">formally directed </w:t>
      </w:r>
      <w:r w:rsidR="00D41960" w:rsidRPr="0010176D">
        <w:rPr>
          <w:rFonts w:ascii="Times New Roman" w:hAnsi="Times New Roman" w:cs="Times New Roman"/>
          <w:bCs/>
        </w:rPr>
        <w:t xml:space="preserve">the implementation of AFSS by </w:t>
      </w:r>
      <w:r w:rsidR="006F1F6A" w:rsidRPr="0010176D">
        <w:rPr>
          <w:rFonts w:ascii="Times New Roman" w:hAnsi="Times New Roman" w:cs="Times New Roman"/>
          <w:bCs/>
        </w:rPr>
        <w:t xml:space="preserve">1 October </w:t>
      </w:r>
      <w:r w:rsidR="00D41960" w:rsidRPr="0010176D">
        <w:rPr>
          <w:rFonts w:ascii="Times New Roman" w:hAnsi="Times New Roman" w:cs="Times New Roman"/>
          <w:bCs/>
        </w:rPr>
        <w:t>2025</w:t>
      </w:r>
      <w:r w:rsidR="006F1F6A" w:rsidRPr="0010176D">
        <w:rPr>
          <w:rFonts w:ascii="Times New Roman" w:hAnsi="Times New Roman" w:cs="Times New Roman"/>
          <w:bCs/>
        </w:rPr>
        <w:t xml:space="preserve"> “</w:t>
      </w:r>
      <w:r w:rsidR="00B6432D">
        <w:rPr>
          <w:rFonts w:ascii="Times New Roman" w:hAnsi="Times New Roman" w:cs="Times New Roman"/>
          <w:bCs/>
        </w:rPr>
        <w:t>…</w:t>
      </w:r>
      <w:r w:rsidR="006F1F6A" w:rsidRPr="0010176D">
        <w:rPr>
          <w:rFonts w:ascii="Times New Roman" w:hAnsi="Times New Roman" w:cs="Times New Roman"/>
          <w:bCs/>
        </w:rPr>
        <w:t>in order to meet resiliency, cost reduction, and capacity demands.”</w:t>
      </w:r>
      <w:r w:rsidR="001604F1" w:rsidRPr="0010176D">
        <w:rPr>
          <w:rStyle w:val="FootnoteReference"/>
          <w:rFonts w:ascii="Times New Roman" w:hAnsi="Times New Roman" w:cs="Times New Roman"/>
          <w:bCs/>
        </w:rPr>
        <w:footnoteReference w:id="22"/>
      </w:r>
      <w:r w:rsidR="00983650" w:rsidRPr="0010176D">
        <w:rPr>
          <w:rFonts w:ascii="Times New Roman" w:hAnsi="Times New Roman" w:cs="Times New Roman"/>
          <w:bCs/>
        </w:rPr>
        <w:t xml:space="preserve"> </w:t>
      </w:r>
      <w:r w:rsidR="00466340" w:rsidRPr="0010176D">
        <w:rPr>
          <w:rFonts w:ascii="Times New Roman" w:hAnsi="Times New Roman" w:cs="Times New Roman"/>
          <w:bCs/>
        </w:rPr>
        <w:t xml:space="preserve">Specifically, switching to AFSS </w:t>
      </w:r>
      <w:r w:rsidR="00A76088" w:rsidRPr="0010176D">
        <w:rPr>
          <w:rFonts w:ascii="Times New Roman" w:hAnsi="Times New Roman" w:cs="Times New Roman"/>
          <w:bCs/>
        </w:rPr>
        <w:t xml:space="preserve">provides </w:t>
      </w:r>
      <w:r w:rsidR="00333492" w:rsidRPr="0010176D">
        <w:rPr>
          <w:rFonts w:ascii="Times New Roman" w:hAnsi="Times New Roman" w:cs="Times New Roman"/>
          <w:bCs/>
        </w:rPr>
        <w:lastRenderedPageBreak/>
        <w:t>many key benefits</w:t>
      </w:r>
      <w:r w:rsidR="00B6432D">
        <w:rPr>
          <w:rFonts w:ascii="Times New Roman" w:hAnsi="Times New Roman" w:cs="Times New Roman"/>
          <w:bCs/>
        </w:rPr>
        <w:t>—</w:t>
      </w:r>
      <w:r w:rsidR="00F6222F" w:rsidRPr="0010176D">
        <w:rPr>
          <w:rFonts w:ascii="Times New Roman" w:hAnsi="Times New Roman" w:cs="Times New Roman"/>
          <w:bCs/>
        </w:rPr>
        <w:t>improv</w:t>
      </w:r>
      <w:r w:rsidR="0078202B" w:rsidRPr="0010176D">
        <w:rPr>
          <w:rFonts w:ascii="Times New Roman" w:hAnsi="Times New Roman" w:cs="Times New Roman"/>
          <w:bCs/>
        </w:rPr>
        <w:t>ing</w:t>
      </w:r>
      <w:r w:rsidR="00F6222F" w:rsidRPr="0010176D">
        <w:rPr>
          <w:rFonts w:ascii="Times New Roman" w:hAnsi="Times New Roman" w:cs="Times New Roman"/>
          <w:bCs/>
        </w:rPr>
        <w:t xml:space="preserve"> operational reliability by switching away from </w:t>
      </w:r>
      <w:r w:rsidR="00466340" w:rsidRPr="0010176D">
        <w:rPr>
          <w:rFonts w:ascii="Times New Roman" w:hAnsi="Times New Roman" w:cs="Times New Roman"/>
          <w:bCs/>
        </w:rPr>
        <w:t>aging launch range infrastructure</w:t>
      </w:r>
      <w:r w:rsidR="00B50C81" w:rsidRPr="0010176D">
        <w:rPr>
          <w:rFonts w:ascii="Times New Roman" w:hAnsi="Times New Roman" w:cs="Times New Roman"/>
          <w:bCs/>
        </w:rPr>
        <w:t>;</w:t>
      </w:r>
      <w:r w:rsidR="00A76088" w:rsidRPr="0010176D">
        <w:rPr>
          <w:rFonts w:ascii="Times New Roman" w:hAnsi="Times New Roman" w:cs="Times New Roman"/>
          <w:bCs/>
        </w:rPr>
        <w:t xml:space="preserve"> </w:t>
      </w:r>
      <w:r w:rsidR="00466340" w:rsidRPr="0010176D">
        <w:rPr>
          <w:rFonts w:ascii="Times New Roman" w:hAnsi="Times New Roman" w:cs="Times New Roman"/>
          <w:bCs/>
        </w:rPr>
        <w:t>enhanc</w:t>
      </w:r>
      <w:r w:rsidR="0078202B" w:rsidRPr="0010176D">
        <w:rPr>
          <w:rFonts w:ascii="Times New Roman" w:hAnsi="Times New Roman" w:cs="Times New Roman"/>
          <w:bCs/>
        </w:rPr>
        <w:t>ing</w:t>
      </w:r>
      <w:r w:rsidR="00466340" w:rsidRPr="0010176D">
        <w:rPr>
          <w:rFonts w:ascii="Times New Roman" w:hAnsi="Times New Roman" w:cs="Times New Roman"/>
          <w:bCs/>
        </w:rPr>
        <w:t xml:space="preserve"> the ability to support more launches by expediting range turnaround times</w:t>
      </w:r>
      <w:r w:rsidR="00B50C81" w:rsidRPr="0010176D">
        <w:rPr>
          <w:rFonts w:ascii="Times New Roman" w:hAnsi="Times New Roman" w:cs="Times New Roman"/>
          <w:bCs/>
        </w:rPr>
        <w:t>; reduc</w:t>
      </w:r>
      <w:r w:rsidR="0078202B" w:rsidRPr="0010176D">
        <w:rPr>
          <w:rFonts w:ascii="Times New Roman" w:hAnsi="Times New Roman" w:cs="Times New Roman"/>
          <w:bCs/>
        </w:rPr>
        <w:t>ing</w:t>
      </w:r>
      <w:r w:rsidR="00B50C81" w:rsidRPr="0010176D">
        <w:rPr>
          <w:rFonts w:ascii="Times New Roman" w:hAnsi="Times New Roman" w:cs="Times New Roman"/>
          <w:bCs/>
        </w:rPr>
        <w:t xml:space="preserve"> the number of government personnel </w:t>
      </w:r>
      <w:r w:rsidR="00466340" w:rsidRPr="0010176D">
        <w:rPr>
          <w:rFonts w:ascii="Times New Roman" w:hAnsi="Times New Roman" w:cs="Times New Roman"/>
          <w:bCs/>
        </w:rPr>
        <w:t>on console</w:t>
      </w:r>
      <w:r w:rsidR="00B50C81" w:rsidRPr="0010176D">
        <w:rPr>
          <w:rFonts w:ascii="Times New Roman" w:hAnsi="Times New Roman" w:cs="Times New Roman"/>
          <w:bCs/>
        </w:rPr>
        <w:t xml:space="preserve">; </w:t>
      </w:r>
      <w:r w:rsidR="00E86746" w:rsidRPr="0010176D">
        <w:rPr>
          <w:rFonts w:ascii="Times New Roman" w:hAnsi="Times New Roman" w:cs="Times New Roman"/>
          <w:bCs/>
        </w:rPr>
        <w:t xml:space="preserve">and </w:t>
      </w:r>
      <w:r w:rsidR="00B50C81" w:rsidRPr="0010176D">
        <w:rPr>
          <w:rFonts w:ascii="Times New Roman" w:hAnsi="Times New Roman" w:cs="Times New Roman"/>
          <w:bCs/>
        </w:rPr>
        <w:t>eliminat</w:t>
      </w:r>
      <w:r w:rsidR="00E86746" w:rsidRPr="0010176D">
        <w:rPr>
          <w:rFonts w:ascii="Times New Roman" w:hAnsi="Times New Roman" w:cs="Times New Roman"/>
          <w:bCs/>
        </w:rPr>
        <w:t>ing</w:t>
      </w:r>
      <w:r w:rsidR="00B50C81" w:rsidRPr="0010176D">
        <w:rPr>
          <w:rFonts w:ascii="Times New Roman" w:hAnsi="Times New Roman" w:cs="Times New Roman"/>
          <w:bCs/>
        </w:rPr>
        <w:t xml:space="preserve"> the need for </w:t>
      </w:r>
      <w:r w:rsidR="00466340" w:rsidRPr="0010176D">
        <w:rPr>
          <w:rFonts w:ascii="Times New Roman" w:hAnsi="Times New Roman" w:cs="Times New Roman"/>
          <w:bCs/>
        </w:rPr>
        <w:t>r</w:t>
      </w:r>
      <w:r w:rsidR="00F6222F" w:rsidRPr="0010176D">
        <w:rPr>
          <w:rFonts w:ascii="Times New Roman" w:hAnsi="Times New Roman" w:cs="Times New Roman"/>
          <w:bCs/>
        </w:rPr>
        <w:t xml:space="preserve">ange instrumentation </w:t>
      </w:r>
      <w:r w:rsidR="0012680D" w:rsidRPr="0010176D">
        <w:rPr>
          <w:rFonts w:ascii="Times New Roman" w:hAnsi="Times New Roman" w:cs="Times New Roman"/>
          <w:bCs/>
        </w:rPr>
        <w:t>directly and solely supporting manual flight termination.</w:t>
      </w:r>
      <w:r w:rsidR="0012680D" w:rsidRPr="0010176D">
        <w:rPr>
          <w:rStyle w:val="FootnoteReference"/>
          <w:rFonts w:ascii="Times New Roman" w:hAnsi="Times New Roman" w:cs="Times New Roman"/>
          <w:bCs/>
        </w:rPr>
        <w:footnoteReference w:id="23"/>
      </w:r>
    </w:p>
    <w:p w14:paraId="427725A7" w14:textId="4B30405F" w:rsidR="00207C36" w:rsidRPr="0010176D" w:rsidRDefault="00C247DA"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tab/>
      </w:r>
      <w:r w:rsidRPr="0010176D">
        <w:rPr>
          <w:rFonts w:ascii="Times New Roman" w:hAnsi="Times New Roman" w:cs="Times New Roman"/>
          <w:bCs/>
        </w:rPr>
        <w:tab/>
      </w:r>
      <w:r w:rsidR="00355E23" w:rsidRPr="0010176D">
        <w:rPr>
          <w:rFonts w:ascii="Times New Roman" w:hAnsi="Times New Roman" w:cs="Times New Roman"/>
          <w:bCs/>
        </w:rPr>
        <w:t xml:space="preserve">AFSS adoption has been far from </w:t>
      </w:r>
      <w:r w:rsidR="0012680D" w:rsidRPr="0010176D">
        <w:rPr>
          <w:rFonts w:ascii="Times New Roman" w:hAnsi="Times New Roman" w:cs="Times New Roman"/>
          <w:bCs/>
        </w:rPr>
        <w:t>uniform</w:t>
      </w:r>
      <w:r w:rsidR="00355E23" w:rsidRPr="0010176D">
        <w:rPr>
          <w:rFonts w:ascii="Times New Roman" w:hAnsi="Times New Roman" w:cs="Times New Roman"/>
          <w:bCs/>
        </w:rPr>
        <w:t>. Companies like SpaceX have b</w:t>
      </w:r>
      <w:r w:rsidR="00CA7D4F" w:rsidRPr="0010176D">
        <w:rPr>
          <w:rFonts w:ascii="Times New Roman" w:hAnsi="Times New Roman" w:cs="Times New Roman"/>
          <w:bCs/>
        </w:rPr>
        <w:t>een at the forefront of AFSS adoption, incorporating it into the Falcon9</w:t>
      </w:r>
      <w:r w:rsidR="00E86746" w:rsidRPr="0010176D">
        <w:rPr>
          <w:rFonts w:ascii="Times New Roman" w:hAnsi="Times New Roman" w:cs="Times New Roman"/>
          <w:bCs/>
        </w:rPr>
        <w:t xml:space="preserve"> launch vehicle</w:t>
      </w:r>
      <w:r w:rsidR="00CA7D4F" w:rsidRPr="0010176D">
        <w:rPr>
          <w:rFonts w:ascii="Times New Roman" w:hAnsi="Times New Roman" w:cs="Times New Roman"/>
          <w:bCs/>
        </w:rPr>
        <w:t xml:space="preserve"> and first demonstrating it in </w:t>
      </w:r>
      <w:r w:rsidR="002D3CE5" w:rsidRPr="0010176D">
        <w:rPr>
          <w:rFonts w:ascii="Times New Roman" w:hAnsi="Times New Roman" w:cs="Times New Roman"/>
          <w:bCs/>
        </w:rPr>
        <w:t>2017.</w:t>
      </w:r>
      <w:r w:rsidR="00950301" w:rsidRPr="0010176D">
        <w:rPr>
          <w:rStyle w:val="FootnoteReference"/>
          <w:rFonts w:ascii="Times New Roman" w:hAnsi="Times New Roman" w:cs="Times New Roman"/>
          <w:bCs/>
        </w:rPr>
        <w:footnoteReference w:id="24"/>
      </w:r>
      <w:r w:rsidR="003C195A" w:rsidRPr="0010176D">
        <w:rPr>
          <w:rFonts w:ascii="Times New Roman" w:hAnsi="Times New Roman" w:cs="Times New Roman"/>
          <w:bCs/>
        </w:rPr>
        <w:t xml:space="preserve"> Other companies, such as United Launch Alliance, </w:t>
      </w:r>
      <w:r w:rsidR="00DE5BE8" w:rsidRPr="0010176D">
        <w:rPr>
          <w:rFonts w:ascii="Times New Roman" w:hAnsi="Times New Roman" w:cs="Times New Roman"/>
          <w:bCs/>
        </w:rPr>
        <w:t>continued to use</w:t>
      </w:r>
      <w:r w:rsidR="005E4544" w:rsidRPr="0010176D">
        <w:rPr>
          <w:rFonts w:ascii="Times New Roman" w:hAnsi="Times New Roman" w:cs="Times New Roman"/>
          <w:bCs/>
        </w:rPr>
        <w:t xml:space="preserve"> legacy flight termination systems </w:t>
      </w:r>
      <w:r w:rsidR="00DE5BE8" w:rsidRPr="0010176D">
        <w:rPr>
          <w:rFonts w:ascii="Times New Roman" w:hAnsi="Times New Roman" w:cs="Times New Roman"/>
          <w:bCs/>
        </w:rPr>
        <w:t xml:space="preserve">throughout the 2020s, and eventually secured waivers for a small number of launches beyond the 2025 deadline. </w:t>
      </w:r>
      <w:r w:rsidR="00BC3C9F" w:rsidRPr="0010176D">
        <w:rPr>
          <w:rFonts w:ascii="Times New Roman" w:hAnsi="Times New Roman" w:cs="Times New Roman"/>
          <w:bCs/>
        </w:rPr>
        <w:t xml:space="preserve">Furthermore, </w:t>
      </w:r>
      <w:r w:rsidR="00642BD9" w:rsidRPr="0010176D">
        <w:rPr>
          <w:rFonts w:ascii="Times New Roman" w:hAnsi="Times New Roman" w:cs="Times New Roman"/>
          <w:bCs/>
        </w:rPr>
        <w:t xml:space="preserve">other DoD entities were unable to switch away from manual flight termination systems for test articles, so the U.S. Space Force </w:t>
      </w:r>
      <w:r w:rsidR="001C6049" w:rsidRPr="0010176D">
        <w:rPr>
          <w:rFonts w:ascii="Times New Roman" w:hAnsi="Times New Roman" w:cs="Times New Roman"/>
          <w:bCs/>
        </w:rPr>
        <w:t>issued guidance</w:t>
      </w:r>
      <w:r w:rsidR="004F2F9D" w:rsidRPr="0010176D">
        <w:rPr>
          <w:rFonts w:ascii="Times New Roman" w:hAnsi="Times New Roman" w:cs="Times New Roman"/>
          <w:bCs/>
        </w:rPr>
        <w:t xml:space="preserve"> continu</w:t>
      </w:r>
      <w:r w:rsidR="009B31E5" w:rsidRPr="0010176D">
        <w:rPr>
          <w:rFonts w:ascii="Times New Roman" w:hAnsi="Times New Roman" w:cs="Times New Roman"/>
          <w:bCs/>
        </w:rPr>
        <w:t>ing</w:t>
      </w:r>
      <w:r w:rsidR="004F2F9D" w:rsidRPr="0010176D">
        <w:rPr>
          <w:rFonts w:ascii="Times New Roman" w:hAnsi="Times New Roman" w:cs="Times New Roman"/>
          <w:bCs/>
        </w:rPr>
        <w:t xml:space="preserve"> to provide ground-based flight termination capabilities until October 2030,</w:t>
      </w:r>
      <w:r w:rsidR="00A36B7B" w:rsidRPr="0010176D">
        <w:rPr>
          <w:rStyle w:val="FootnoteReference"/>
          <w:rFonts w:ascii="Times New Roman" w:hAnsi="Times New Roman" w:cs="Times New Roman"/>
          <w:bCs/>
        </w:rPr>
        <w:footnoteReference w:id="25"/>
      </w:r>
      <w:r w:rsidR="004F2F9D" w:rsidRPr="0010176D">
        <w:rPr>
          <w:rFonts w:ascii="Times New Roman" w:hAnsi="Times New Roman" w:cs="Times New Roman"/>
          <w:bCs/>
        </w:rPr>
        <w:t xml:space="preserve"> </w:t>
      </w:r>
      <w:r w:rsidR="00165847" w:rsidRPr="0010176D">
        <w:rPr>
          <w:rFonts w:ascii="Times New Roman" w:hAnsi="Times New Roman" w:cs="Times New Roman"/>
          <w:bCs/>
        </w:rPr>
        <w:t xml:space="preserve">reducing financial benefits </w:t>
      </w:r>
      <w:r w:rsidR="00E57A66" w:rsidRPr="0010176D">
        <w:rPr>
          <w:rFonts w:ascii="Times New Roman" w:hAnsi="Times New Roman" w:cs="Times New Roman"/>
          <w:bCs/>
        </w:rPr>
        <w:t>from</w:t>
      </w:r>
      <w:r w:rsidR="00165847" w:rsidRPr="0010176D">
        <w:rPr>
          <w:rFonts w:ascii="Times New Roman" w:hAnsi="Times New Roman" w:cs="Times New Roman"/>
          <w:bCs/>
        </w:rPr>
        <w:t xml:space="preserve"> the transition</w:t>
      </w:r>
      <w:r w:rsidR="00A36B7B" w:rsidRPr="0010176D">
        <w:rPr>
          <w:rFonts w:ascii="Times New Roman" w:hAnsi="Times New Roman" w:cs="Times New Roman"/>
          <w:bCs/>
        </w:rPr>
        <w:t xml:space="preserve"> off </w:t>
      </w:r>
      <w:r w:rsidR="00E57A66" w:rsidRPr="0010176D">
        <w:rPr>
          <w:rFonts w:ascii="Times New Roman" w:hAnsi="Times New Roman" w:cs="Times New Roman"/>
          <w:bCs/>
        </w:rPr>
        <w:t xml:space="preserve">legacy, aging ground infrastructure. </w:t>
      </w:r>
      <w:r w:rsidR="008656F9" w:rsidRPr="0010176D">
        <w:rPr>
          <w:rFonts w:ascii="Times New Roman" w:hAnsi="Times New Roman" w:cs="Times New Roman"/>
          <w:bCs/>
        </w:rPr>
        <w:t>While</w:t>
      </w:r>
      <w:r w:rsidR="009B148D" w:rsidRPr="0010176D">
        <w:rPr>
          <w:rFonts w:ascii="Times New Roman" w:hAnsi="Times New Roman" w:cs="Times New Roman"/>
          <w:bCs/>
        </w:rPr>
        <w:t xml:space="preserve"> </w:t>
      </w:r>
      <w:r w:rsidR="008656F9" w:rsidRPr="0010176D">
        <w:rPr>
          <w:rFonts w:ascii="Times New Roman" w:hAnsi="Times New Roman" w:cs="Times New Roman"/>
          <w:bCs/>
        </w:rPr>
        <w:t>t</w:t>
      </w:r>
      <w:r w:rsidR="00A36B7B" w:rsidRPr="0010176D">
        <w:rPr>
          <w:rFonts w:ascii="Times New Roman" w:hAnsi="Times New Roman" w:cs="Times New Roman"/>
          <w:bCs/>
        </w:rPr>
        <w:t xml:space="preserve">he U.S. Space Force was </w:t>
      </w:r>
      <w:r w:rsidR="009F4605" w:rsidRPr="0010176D">
        <w:rPr>
          <w:rFonts w:ascii="Times New Roman" w:hAnsi="Times New Roman" w:cs="Times New Roman"/>
          <w:bCs/>
        </w:rPr>
        <w:t>able to transition recurring costs away from its bottom line</w:t>
      </w:r>
      <w:r w:rsidR="008656F9" w:rsidRPr="0010176D">
        <w:rPr>
          <w:rFonts w:ascii="Times New Roman" w:hAnsi="Times New Roman" w:cs="Times New Roman"/>
          <w:bCs/>
        </w:rPr>
        <w:t xml:space="preserve"> and on to </w:t>
      </w:r>
      <w:r w:rsidR="00FC20C6" w:rsidRPr="0010176D">
        <w:rPr>
          <w:rFonts w:ascii="Times New Roman" w:hAnsi="Times New Roman" w:cs="Times New Roman"/>
          <w:bCs/>
        </w:rPr>
        <w:t>its</w:t>
      </w:r>
      <w:r w:rsidR="008656F9" w:rsidRPr="0010176D">
        <w:rPr>
          <w:rFonts w:ascii="Times New Roman" w:hAnsi="Times New Roman" w:cs="Times New Roman"/>
          <w:bCs/>
        </w:rPr>
        <w:t xml:space="preserve"> customers</w:t>
      </w:r>
      <w:r w:rsidR="009F4605" w:rsidRPr="0010176D">
        <w:rPr>
          <w:rFonts w:ascii="Times New Roman" w:hAnsi="Times New Roman" w:cs="Times New Roman"/>
          <w:bCs/>
        </w:rPr>
        <w:t xml:space="preserve">, </w:t>
      </w:r>
      <w:r w:rsidR="007A7FBE" w:rsidRPr="0010176D">
        <w:rPr>
          <w:rFonts w:ascii="Times New Roman" w:hAnsi="Times New Roman" w:cs="Times New Roman"/>
          <w:bCs/>
        </w:rPr>
        <w:t xml:space="preserve">this example showcases </w:t>
      </w:r>
      <w:r w:rsidR="00A83CC1" w:rsidRPr="0010176D">
        <w:rPr>
          <w:rFonts w:ascii="Times New Roman" w:hAnsi="Times New Roman" w:cs="Times New Roman"/>
          <w:bCs/>
        </w:rPr>
        <w:t xml:space="preserve">the challenges associated with </w:t>
      </w:r>
      <w:r w:rsidR="007A1A91" w:rsidRPr="0010176D">
        <w:rPr>
          <w:rFonts w:ascii="Times New Roman" w:hAnsi="Times New Roman" w:cs="Times New Roman"/>
          <w:bCs/>
        </w:rPr>
        <w:t xml:space="preserve">gradual implementation of regulations across </w:t>
      </w:r>
      <w:r w:rsidR="00C66311" w:rsidRPr="0010176D">
        <w:rPr>
          <w:rFonts w:ascii="Times New Roman" w:hAnsi="Times New Roman" w:cs="Times New Roman"/>
          <w:bCs/>
        </w:rPr>
        <w:t>unique</w:t>
      </w:r>
      <w:r w:rsidR="00CF42A2" w:rsidRPr="0010176D">
        <w:rPr>
          <w:rFonts w:ascii="Times New Roman" w:hAnsi="Times New Roman" w:cs="Times New Roman"/>
          <w:bCs/>
        </w:rPr>
        <w:t xml:space="preserve"> stakeholder requirements</w:t>
      </w:r>
      <w:r w:rsidR="00C66311" w:rsidRPr="0010176D">
        <w:rPr>
          <w:rFonts w:ascii="Times New Roman" w:hAnsi="Times New Roman" w:cs="Times New Roman"/>
          <w:bCs/>
        </w:rPr>
        <w:t xml:space="preserve">. </w:t>
      </w:r>
    </w:p>
    <w:p w14:paraId="517F5B76" w14:textId="5412DAAA" w:rsidR="00631B76" w:rsidRPr="0010176D" w:rsidRDefault="00080D80" w:rsidP="002F32CA">
      <w:pPr>
        <w:pStyle w:val="ListParagraph"/>
        <w:widowControl w:val="0"/>
        <w:tabs>
          <w:tab w:val="left" w:pos="270"/>
        </w:tabs>
        <w:autoSpaceDE w:val="0"/>
        <w:autoSpaceDN w:val="0"/>
        <w:spacing w:after="0" w:line="259" w:lineRule="auto"/>
        <w:ind w:left="0"/>
        <w:contextualSpacing w:val="0"/>
        <w:rPr>
          <w:rFonts w:ascii="Times New Roman" w:hAnsi="Times New Roman" w:cs="Times New Roman"/>
          <w:bCs/>
        </w:rPr>
      </w:pPr>
      <w:r w:rsidRPr="0010176D">
        <w:rPr>
          <w:rFonts w:ascii="Times New Roman" w:hAnsi="Times New Roman" w:cs="Times New Roman"/>
          <w:bCs/>
        </w:rPr>
        <w:tab/>
      </w:r>
      <w:r w:rsidR="00C420C3" w:rsidRPr="0010176D">
        <w:rPr>
          <w:rFonts w:ascii="Times New Roman" w:hAnsi="Times New Roman" w:cs="Times New Roman"/>
          <w:bCs/>
        </w:rPr>
        <w:t xml:space="preserve"> </w:t>
      </w:r>
    </w:p>
    <w:p w14:paraId="77505947" w14:textId="1D7CFEE7" w:rsidR="00FF1422" w:rsidRPr="007931E5" w:rsidRDefault="00FF1422" w:rsidP="00350E78">
      <w:pPr>
        <w:pStyle w:val="Heading1"/>
        <w:spacing w:after="360"/>
        <w:rPr>
          <w:rFonts w:ascii="Times New Roman" w:hAnsi="Times New Roman" w:cs="Times New Roman"/>
          <w:b/>
          <w:bCs/>
          <w:color w:val="auto"/>
          <w:sz w:val="32"/>
          <w:szCs w:val="32"/>
        </w:rPr>
      </w:pPr>
      <w:bookmarkStart w:id="12" w:name="_Toc227163559"/>
      <w:r w:rsidRPr="007931E5">
        <w:rPr>
          <w:rFonts w:ascii="Times New Roman" w:hAnsi="Times New Roman" w:cs="Times New Roman"/>
          <w:b/>
          <w:bCs/>
          <w:color w:val="auto"/>
          <w:sz w:val="32"/>
          <w:szCs w:val="32"/>
        </w:rPr>
        <w:t xml:space="preserve">Managing </w:t>
      </w:r>
      <w:r w:rsidR="003C7EF1" w:rsidRPr="007931E5">
        <w:rPr>
          <w:rFonts w:ascii="Times New Roman" w:hAnsi="Times New Roman" w:cs="Times New Roman"/>
          <w:b/>
          <w:bCs/>
          <w:color w:val="auto"/>
          <w:sz w:val="32"/>
          <w:szCs w:val="32"/>
        </w:rPr>
        <w:t>O</w:t>
      </w:r>
      <w:r w:rsidRPr="007931E5">
        <w:rPr>
          <w:rFonts w:ascii="Times New Roman" w:hAnsi="Times New Roman" w:cs="Times New Roman"/>
          <w:b/>
          <w:bCs/>
          <w:color w:val="auto"/>
          <w:sz w:val="32"/>
          <w:szCs w:val="32"/>
        </w:rPr>
        <w:t xml:space="preserve">rganizational </w:t>
      </w:r>
      <w:r w:rsidR="003C7EF1" w:rsidRPr="007931E5">
        <w:rPr>
          <w:rFonts w:ascii="Times New Roman" w:hAnsi="Times New Roman" w:cs="Times New Roman"/>
          <w:b/>
          <w:bCs/>
          <w:color w:val="auto"/>
          <w:sz w:val="32"/>
          <w:szCs w:val="32"/>
        </w:rPr>
        <w:t>C</w:t>
      </w:r>
      <w:r w:rsidRPr="007931E5">
        <w:rPr>
          <w:rFonts w:ascii="Times New Roman" w:hAnsi="Times New Roman" w:cs="Times New Roman"/>
          <w:b/>
          <w:bCs/>
          <w:color w:val="auto"/>
          <w:sz w:val="32"/>
          <w:szCs w:val="32"/>
        </w:rPr>
        <w:t>hange</w:t>
      </w:r>
      <w:bookmarkEnd w:id="12"/>
    </w:p>
    <w:p w14:paraId="2A666880" w14:textId="42DE9CE3" w:rsidR="00E06CCC" w:rsidRPr="0010176D" w:rsidRDefault="00350E78"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E06CCC" w:rsidRPr="0010176D">
        <w:rPr>
          <w:rFonts w:ascii="Times New Roman" w:hAnsi="Times New Roman" w:cs="Times New Roman"/>
          <w:bCs/>
        </w:rPr>
        <w:t xml:space="preserve">The regulatory context was important as it helps contextualize the policy environment </w:t>
      </w:r>
      <w:r w:rsidR="00D973AF" w:rsidRPr="0010176D">
        <w:rPr>
          <w:rFonts w:ascii="Times New Roman" w:hAnsi="Times New Roman" w:cs="Times New Roman"/>
          <w:bCs/>
        </w:rPr>
        <w:t xml:space="preserve">in which </w:t>
      </w:r>
      <w:r w:rsidR="00BB167B" w:rsidRPr="0010176D">
        <w:rPr>
          <w:rFonts w:ascii="Times New Roman" w:hAnsi="Times New Roman" w:cs="Times New Roman"/>
          <w:bCs/>
        </w:rPr>
        <w:t xml:space="preserve">government and the </w:t>
      </w:r>
      <w:r w:rsidR="00635959" w:rsidRPr="0010176D">
        <w:rPr>
          <w:rFonts w:ascii="Times New Roman" w:hAnsi="Times New Roman" w:cs="Times New Roman"/>
          <w:bCs/>
        </w:rPr>
        <w:t xml:space="preserve">U.S. Space Force </w:t>
      </w:r>
      <w:r w:rsidR="00BB167B" w:rsidRPr="0010176D">
        <w:rPr>
          <w:rFonts w:ascii="Times New Roman" w:hAnsi="Times New Roman" w:cs="Times New Roman"/>
          <w:bCs/>
        </w:rPr>
        <w:t>found itself operating in</w:t>
      </w:r>
      <w:r w:rsidR="005736E0" w:rsidRPr="0010176D">
        <w:rPr>
          <w:rFonts w:ascii="Times New Roman" w:hAnsi="Times New Roman" w:cs="Times New Roman"/>
          <w:bCs/>
        </w:rPr>
        <w:t xml:space="preserve"> as it responded to the </w:t>
      </w:r>
      <w:r w:rsidR="005736E0" w:rsidRPr="0010176D">
        <w:rPr>
          <w:rFonts w:ascii="Times New Roman" w:hAnsi="Times New Roman" w:cs="Times New Roman"/>
          <w:bCs/>
        </w:rPr>
        <w:lastRenderedPageBreak/>
        <w:t>increased launch cadence</w:t>
      </w:r>
      <w:r w:rsidR="00BB167B" w:rsidRPr="0010176D">
        <w:rPr>
          <w:rFonts w:ascii="Times New Roman" w:hAnsi="Times New Roman" w:cs="Times New Roman"/>
          <w:bCs/>
        </w:rPr>
        <w:t xml:space="preserve">. </w:t>
      </w:r>
      <w:r w:rsidR="00C73803" w:rsidRPr="0010176D">
        <w:rPr>
          <w:rFonts w:ascii="Times New Roman" w:hAnsi="Times New Roman" w:cs="Times New Roman"/>
          <w:bCs/>
        </w:rPr>
        <w:t xml:space="preserve">The next part of this </w:t>
      </w:r>
      <w:r w:rsidR="0076005A" w:rsidRPr="0010176D">
        <w:rPr>
          <w:rFonts w:ascii="Times New Roman" w:hAnsi="Times New Roman" w:cs="Times New Roman"/>
          <w:bCs/>
        </w:rPr>
        <w:t>paper</w:t>
      </w:r>
      <w:r w:rsidR="00C73803" w:rsidRPr="0010176D">
        <w:rPr>
          <w:rFonts w:ascii="Times New Roman" w:hAnsi="Times New Roman" w:cs="Times New Roman"/>
          <w:bCs/>
        </w:rPr>
        <w:t xml:space="preserve"> focuses on organizational change</w:t>
      </w:r>
      <w:r w:rsidR="0076005A" w:rsidRPr="0010176D">
        <w:rPr>
          <w:rFonts w:ascii="Times New Roman" w:hAnsi="Times New Roman" w:cs="Times New Roman"/>
          <w:bCs/>
        </w:rPr>
        <w:t xml:space="preserve">, and what the U.S. Space Force did to sustain change in the launch community </w:t>
      </w:r>
      <w:r w:rsidR="002D786F" w:rsidRPr="0010176D">
        <w:rPr>
          <w:rFonts w:ascii="Times New Roman" w:hAnsi="Times New Roman" w:cs="Times New Roman"/>
          <w:bCs/>
        </w:rPr>
        <w:t>in support of an increased launch rate</w:t>
      </w:r>
      <w:r w:rsidR="00520220" w:rsidRPr="0010176D">
        <w:rPr>
          <w:rFonts w:ascii="Times New Roman" w:hAnsi="Times New Roman" w:cs="Times New Roman"/>
          <w:bCs/>
        </w:rPr>
        <w:t>.</w:t>
      </w:r>
      <w:r w:rsidR="00520220" w:rsidRPr="0010176D">
        <w:rPr>
          <w:rStyle w:val="FootnoteReference"/>
          <w:rFonts w:ascii="Times New Roman" w:hAnsi="Times New Roman" w:cs="Times New Roman"/>
          <w:bCs/>
        </w:rPr>
        <w:footnoteReference w:id="26"/>
      </w:r>
      <w:r w:rsidR="002D786F" w:rsidRPr="0010176D">
        <w:rPr>
          <w:rFonts w:ascii="Times New Roman" w:hAnsi="Times New Roman" w:cs="Times New Roman"/>
          <w:bCs/>
        </w:rPr>
        <w:t xml:space="preserve"> </w:t>
      </w:r>
      <w:r w:rsidR="00131C88" w:rsidRPr="0010176D">
        <w:rPr>
          <w:rFonts w:ascii="Times New Roman" w:hAnsi="Times New Roman" w:cs="Times New Roman"/>
          <w:bCs/>
        </w:rPr>
        <w:t>In sum, the U.S. Space Force</w:t>
      </w:r>
      <w:r w:rsidR="003E0C0C" w:rsidRPr="0010176D">
        <w:rPr>
          <w:rFonts w:ascii="Times New Roman" w:hAnsi="Times New Roman" w:cs="Times New Roman"/>
          <w:bCs/>
        </w:rPr>
        <w:t xml:space="preserve">’s effects largely reflected organizational change theory: </w:t>
      </w:r>
      <w:r w:rsidR="00654CD8" w:rsidRPr="0010176D">
        <w:rPr>
          <w:rFonts w:ascii="Times New Roman" w:hAnsi="Times New Roman" w:cs="Times New Roman"/>
          <w:bCs/>
        </w:rPr>
        <w:t xml:space="preserve">building a strategic vision and communicating </w:t>
      </w:r>
      <w:r w:rsidR="00CB7439" w:rsidRPr="0010176D">
        <w:rPr>
          <w:rFonts w:ascii="Times New Roman" w:hAnsi="Times New Roman" w:cs="Times New Roman"/>
          <w:bCs/>
        </w:rPr>
        <w:t xml:space="preserve">it to the team, empowering the team and </w:t>
      </w:r>
      <w:r w:rsidR="00E76134" w:rsidRPr="0010176D">
        <w:rPr>
          <w:rFonts w:ascii="Times New Roman" w:hAnsi="Times New Roman" w:cs="Times New Roman"/>
          <w:bCs/>
        </w:rPr>
        <w:t xml:space="preserve">working across coalitions and key stakeholders to </w:t>
      </w:r>
      <w:r w:rsidR="00CB7439" w:rsidRPr="0010176D">
        <w:rPr>
          <w:rFonts w:ascii="Times New Roman" w:hAnsi="Times New Roman" w:cs="Times New Roman"/>
          <w:bCs/>
        </w:rPr>
        <w:t xml:space="preserve">implement the change, and institutionalizing new behaviors to sustain the change. </w:t>
      </w:r>
    </w:p>
    <w:p w14:paraId="6804DD02" w14:textId="47457D8F" w:rsidR="00CD392E" w:rsidRPr="0010176D" w:rsidRDefault="00E3588E"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r w:rsidRPr="0010176D">
        <w:rPr>
          <w:rFonts w:ascii="Times New Roman" w:hAnsi="Times New Roman" w:cs="Times New Roman"/>
          <w:bCs/>
        </w:rPr>
        <w:tab/>
      </w:r>
      <w:r w:rsidRPr="0010176D">
        <w:rPr>
          <w:rFonts w:ascii="Times New Roman" w:hAnsi="Times New Roman" w:cs="Times New Roman"/>
          <w:bCs/>
        </w:rPr>
        <w:tab/>
        <w:t xml:space="preserve">The transition of the U.S. Space Force from a direct operator of launch vehicles to a strategic facilitator and spaceport manager role represents a major organizational transformation taken by the newest military </w:t>
      </w:r>
      <w:r w:rsidR="00E52C2B" w:rsidRPr="0010176D">
        <w:rPr>
          <w:rFonts w:ascii="Times New Roman" w:hAnsi="Times New Roman" w:cs="Times New Roman"/>
          <w:bCs/>
        </w:rPr>
        <w:t xml:space="preserve">service in the United States. </w:t>
      </w:r>
      <w:r w:rsidRPr="0010176D">
        <w:rPr>
          <w:rFonts w:ascii="Times New Roman" w:hAnsi="Times New Roman" w:cs="Times New Roman"/>
          <w:bCs/>
        </w:rPr>
        <w:t xml:space="preserve">This shift </w:t>
      </w:r>
      <w:r w:rsidR="00867F9D" w:rsidRPr="0010176D">
        <w:rPr>
          <w:rFonts w:ascii="Times New Roman" w:hAnsi="Times New Roman" w:cs="Times New Roman"/>
          <w:bCs/>
        </w:rPr>
        <w:t>was</w:t>
      </w:r>
      <w:r w:rsidRPr="0010176D">
        <w:rPr>
          <w:rFonts w:ascii="Times New Roman" w:hAnsi="Times New Roman" w:cs="Times New Roman"/>
          <w:bCs/>
        </w:rPr>
        <w:t xml:space="preserve"> a fundamental response to the </w:t>
      </w:r>
      <w:r w:rsidR="00867F9D" w:rsidRPr="0010176D">
        <w:rPr>
          <w:rFonts w:ascii="Times New Roman" w:hAnsi="Times New Roman" w:cs="Times New Roman"/>
          <w:bCs/>
        </w:rPr>
        <w:t>changing launch services demand</w:t>
      </w:r>
      <w:r w:rsidRPr="0010176D">
        <w:rPr>
          <w:rFonts w:ascii="Times New Roman" w:hAnsi="Times New Roman" w:cs="Times New Roman"/>
          <w:bCs/>
        </w:rPr>
        <w:t xml:space="preserve"> in the </w:t>
      </w:r>
      <w:r w:rsidR="00867F9D" w:rsidRPr="0010176D">
        <w:rPr>
          <w:rFonts w:ascii="Times New Roman" w:hAnsi="Times New Roman" w:cs="Times New Roman"/>
          <w:bCs/>
        </w:rPr>
        <w:t>U.S.</w:t>
      </w:r>
      <w:r w:rsidRPr="0010176D">
        <w:rPr>
          <w:rFonts w:ascii="Times New Roman" w:hAnsi="Times New Roman" w:cs="Times New Roman"/>
          <w:bCs/>
        </w:rPr>
        <w:t xml:space="preserve"> launch market. To understand this transition, </w:t>
      </w:r>
      <w:r w:rsidR="006C7306" w:rsidRPr="0010176D">
        <w:rPr>
          <w:rFonts w:ascii="Times New Roman" w:hAnsi="Times New Roman" w:cs="Times New Roman"/>
          <w:bCs/>
        </w:rPr>
        <w:t xml:space="preserve">this paper </w:t>
      </w:r>
      <w:r w:rsidRPr="0010176D">
        <w:rPr>
          <w:rFonts w:ascii="Times New Roman" w:hAnsi="Times New Roman" w:cs="Times New Roman"/>
          <w:bCs/>
        </w:rPr>
        <w:t>look</w:t>
      </w:r>
      <w:r w:rsidR="006C7306" w:rsidRPr="0010176D">
        <w:rPr>
          <w:rFonts w:ascii="Times New Roman" w:hAnsi="Times New Roman" w:cs="Times New Roman"/>
          <w:bCs/>
        </w:rPr>
        <w:t>s</w:t>
      </w:r>
      <w:r w:rsidRPr="0010176D">
        <w:rPr>
          <w:rFonts w:ascii="Times New Roman" w:hAnsi="Times New Roman" w:cs="Times New Roman"/>
          <w:bCs/>
        </w:rPr>
        <w:t xml:space="preserve"> through the lens of John Kotter’s work</w:t>
      </w:r>
      <w:r w:rsidR="00EC7E86">
        <w:rPr>
          <w:rFonts w:ascii="Times New Roman" w:hAnsi="Times New Roman" w:cs="Times New Roman"/>
          <w:bCs/>
        </w:rPr>
        <w:t xml:space="preserve"> on leading change</w:t>
      </w:r>
      <w:r w:rsidR="006C7306" w:rsidRPr="0010176D">
        <w:rPr>
          <w:rFonts w:ascii="Times New Roman" w:hAnsi="Times New Roman" w:cs="Times New Roman"/>
          <w:bCs/>
        </w:rPr>
        <w:t>,</w:t>
      </w:r>
      <w:r w:rsidR="00715979">
        <w:rPr>
          <w:rFonts w:ascii="Times New Roman" w:hAnsi="Times New Roman" w:cs="Times New Roman"/>
          <w:bCs/>
        </w:rPr>
        <w:t xml:space="preserve"> </w:t>
      </w:r>
      <w:r w:rsidR="00715979">
        <w:rPr>
          <w:rFonts w:ascii="Times New Roman" w:hAnsi="Times New Roman" w:cs="Times New Roman"/>
        </w:rPr>
        <w:t>and in particular Kotter’s</w:t>
      </w:r>
      <w:r w:rsidR="00715979" w:rsidRPr="0010176D">
        <w:rPr>
          <w:rFonts w:ascii="Times New Roman" w:hAnsi="Times New Roman" w:cs="Times New Roman"/>
        </w:rPr>
        <w:t xml:space="preserve"> eight-stage </w:t>
      </w:r>
      <w:r w:rsidR="00715979">
        <w:rPr>
          <w:rFonts w:ascii="Times New Roman" w:hAnsi="Times New Roman" w:cs="Times New Roman"/>
        </w:rPr>
        <w:t xml:space="preserve">organization </w:t>
      </w:r>
      <w:r w:rsidR="00715979" w:rsidRPr="0010176D">
        <w:rPr>
          <w:rFonts w:ascii="Times New Roman" w:hAnsi="Times New Roman" w:cs="Times New Roman"/>
        </w:rPr>
        <w:t>change process</w:t>
      </w:r>
      <w:r w:rsidR="006C7306" w:rsidRPr="0010176D">
        <w:rPr>
          <w:rFonts w:ascii="Times New Roman" w:hAnsi="Times New Roman" w:cs="Times New Roman"/>
          <w:bCs/>
        </w:rPr>
        <w:t xml:space="preserve"> </w:t>
      </w:r>
      <w:r w:rsidRPr="0010176D">
        <w:rPr>
          <w:rFonts w:ascii="Times New Roman" w:hAnsi="Times New Roman" w:cs="Times New Roman"/>
          <w:bCs/>
        </w:rPr>
        <w:t>that successful transformations follow.</w:t>
      </w:r>
      <w:r w:rsidR="001134F3" w:rsidRPr="0010176D">
        <w:rPr>
          <w:rStyle w:val="FootnoteReference"/>
          <w:rFonts w:ascii="Times New Roman" w:hAnsi="Times New Roman" w:cs="Times New Roman"/>
          <w:bCs/>
        </w:rPr>
        <w:footnoteReference w:id="27"/>
      </w:r>
      <w:r w:rsidRPr="0010176D">
        <w:rPr>
          <w:rFonts w:ascii="Times New Roman" w:hAnsi="Times New Roman" w:cs="Times New Roman"/>
          <w:bCs/>
        </w:rPr>
        <w:t xml:space="preserve"> For the Space Force, the journey began by recognizing that the </w:t>
      </w:r>
      <w:r w:rsidR="00FF4C4E" w:rsidRPr="0010176D">
        <w:rPr>
          <w:rFonts w:ascii="Times New Roman" w:hAnsi="Times New Roman" w:cs="Times New Roman"/>
          <w:bCs/>
        </w:rPr>
        <w:t>historic</w:t>
      </w:r>
      <w:r w:rsidRPr="0010176D">
        <w:rPr>
          <w:rFonts w:ascii="Times New Roman" w:hAnsi="Times New Roman" w:cs="Times New Roman"/>
          <w:bCs/>
        </w:rPr>
        <w:t xml:space="preserve"> way of doing business</w:t>
      </w:r>
      <w:r w:rsidR="00FF4C4E" w:rsidRPr="0010176D">
        <w:rPr>
          <w:rFonts w:ascii="Times New Roman" w:hAnsi="Times New Roman" w:cs="Times New Roman"/>
          <w:bCs/>
        </w:rPr>
        <w:t xml:space="preserve"> </w:t>
      </w:r>
      <w:r w:rsidR="00CD392E" w:rsidRPr="0010176D">
        <w:rPr>
          <w:rFonts w:ascii="Times New Roman" w:hAnsi="Times New Roman" w:cs="Times New Roman"/>
          <w:bCs/>
        </w:rPr>
        <w:t>with a</w:t>
      </w:r>
      <w:r w:rsidR="00FF4C4E" w:rsidRPr="0010176D">
        <w:rPr>
          <w:rFonts w:ascii="Times New Roman" w:hAnsi="Times New Roman" w:cs="Times New Roman"/>
          <w:bCs/>
        </w:rPr>
        <w:t xml:space="preserve"> launch cadence of 10-15 launches per yea</w:t>
      </w:r>
      <w:r w:rsidR="00CD392E" w:rsidRPr="0010176D">
        <w:rPr>
          <w:rFonts w:ascii="Times New Roman" w:hAnsi="Times New Roman" w:cs="Times New Roman"/>
          <w:bCs/>
        </w:rPr>
        <w:t xml:space="preserve">r was no longer viable </w:t>
      </w:r>
      <w:r w:rsidRPr="0010176D">
        <w:rPr>
          <w:rFonts w:ascii="Times New Roman" w:hAnsi="Times New Roman" w:cs="Times New Roman"/>
          <w:bCs/>
        </w:rPr>
        <w:t xml:space="preserve">in an era of rapid commercial </w:t>
      </w:r>
      <w:r w:rsidR="00CD392E" w:rsidRPr="0010176D">
        <w:rPr>
          <w:rFonts w:ascii="Times New Roman" w:hAnsi="Times New Roman" w:cs="Times New Roman"/>
          <w:bCs/>
        </w:rPr>
        <w:t xml:space="preserve">launch growth and </w:t>
      </w:r>
      <w:r w:rsidRPr="0010176D">
        <w:rPr>
          <w:rFonts w:ascii="Times New Roman" w:hAnsi="Times New Roman" w:cs="Times New Roman"/>
          <w:bCs/>
        </w:rPr>
        <w:t>innovation.</w:t>
      </w:r>
    </w:p>
    <w:p w14:paraId="154B6CAD" w14:textId="77777777" w:rsidR="00350E78" w:rsidRDefault="00350E78" w:rsidP="00350E78">
      <w:pPr>
        <w:widowControl w:val="0"/>
        <w:tabs>
          <w:tab w:val="left" w:pos="270"/>
        </w:tabs>
        <w:autoSpaceDE w:val="0"/>
        <w:autoSpaceDN w:val="0"/>
        <w:spacing w:after="0" w:line="480" w:lineRule="auto"/>
        <w:rPr>
          <w:rFonts w:ascii="Times New Roman" w:hAnsi="Times New Roman" w:cs="Times New Roman"/>
          <w:b/>
          <w:bCs/>
        </w:rPr>
      </w:pPr>
    </w:p>
    <w:p w14:paraId="7A7D3034" w14:textId="4FEEC013" w:rsidR="00300B65" w:rsidRPr="0010176D" w:rsidRDefault="00300B65" w:rsidP="00350E78">
      <w:pPr>
        <w:widowControl w:val="0"/>
        <w:tabs>
          <w:tab w:val="left" w:pos="270"/>
        </w:tabs>
        <w:autoSpaceDE w:val="0"/>
        <w:autoSpaceDN w:val="0"/>
        <w:spacing w:after="0" w:line="480" w:lineRule="auto"/>
        <w:rPr>
          <w:rFonts w:ascii="Times New Roman" w:hAnsi="Times New Roman" w:cs="Times New Roman"/>
          <w:b/>
          <w:bCs/>
        </w:rPr>
      </w:pPr>
      <w:r w:rsidRPr="0010176D">
        <w:rPr>
          <w:rFonts w:ascii="Times New Roman" w:hAnsi="Times New Roman" w:cs="Times New Roman"/>
          <w:b/>
          <w:bCs/>
        </w:rPr>
        <w:t>Step 1. Establishing a Sense of Urgency</w:t>
      </w:r>
    </w:p>
    <w:p w14:paraId="2DE7D520" w14:textId="2090D04B" w:rsidR="0025256C"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300B65" w:rsidRPr="0010176D">
        <w:rPr>
          <w:rFonts w:ascii="Times New Roman" w:hAnsi="Times New Roman" w:cs="Times New Roman"/>
          <w:bCs/>
        </w:rPr>
        <w:t xml:space="preserve">According to Kotter, transformation fails when leaders </w:t>
      </w:r>
      <w:r w:rsidR="00C96D5A" w:rsidRPr="0010176D">
        <w:rPr>
          <w:rFonts w:ascii="Times New Roman" w:hAnsi="Times New Roman" w:cs="Times New Roman"/>
          <w:bCs/>
        </w:rPr>
        <w:t>are unable to overcome</w:t>
      </w:r>
      <w:r w:rsidR="00300B65" w:rsidRPr="0010176D">
        <w:rPr>
          <w:rFonts w:ascii="Times New Roman" w:hAnsi="Times New Roman" w:cs="Times New Roman"/>
          <w:bCs/>
        </w:rPr>
        <w:t xml:space="preserve"> the difficulty of driving people </w:t>
      </w:r>
      <w:r w:rsidR="00A7313A" w:rsidRPr="0010176D">
        <w:rPr>
          <w:rFonts w:ascii="Times New Roman" w:hAnsi="Times New Roman" w:cs="Times New Roman"/>
          <w:bCs/>
        </w:rPr>
        <w:t>“</w:t>
      </w:r>
      <w:r w:rsidR="00300B65" w:rsidRPr="0010176D">
        <w:rPr>
          <w:rFonts w:ascii="Times New Roman" w:hAnsi="Times New Roman" w:cs="Times New Roman"/>
          <w:bCs/>
        </w:rPr>
        <w:t>out of their comfort zones</w:t>
      </w:r>
      <w:r w:rsidR="006F7808" w:rsidRPr="0010176D">
        <w:rPr>
          <w:rFonts w:ascii="Times New Roman" w:hAnsi="Times New Roman" w:cs="Times New Roman"/>
          <w:bCs/>
        </w:rPr>
        <w:t>,</w:t>
      </w:r>
      <w:r w:rsidR="00A7313A" w:rsidRPr="0010176D">
        <w:rPr>
          <w:rFonts w:ascii="Times New Roman" w:hAnsi="Times New Roman" w:cs="Times New Roman"/>
          <w:bCs/>
        </w:rPr>
        <w:t>”</w:t>
      </w:r>
      <w:r w:rsidR="00861B3B" w:rsidRPr="0010176D">
        <w:rPr>
          <w:rStyle w:val="FootnoteReference"/>
          <w:rFonts w:ascii="Times New Roman" w:hAnsi="Times New Roman" w:cs="Times New Roman"/>
          <w:bCs/>
        </w:rPr>
        <w:footnoteReference w:id="28"/>
      </w:r>
      <w:r w:rsidR="006F7808" w:rsidRPr="0010176D">
        <w:rPr>
          <w:rFonts w:ascii="Times New Roman" w:hAnsi="Times New Roman" w:cs="Times New Roman"/>
          <w:bCs/>
        </w:rPr>
        <w:t xml:space="preserve"> and f</w:t>
      </w:r>
      <w:r w:rsidR="00300B65" w:rsidRPr="0010176D">
        <w:rPr>
          <w:rFonts w:ascii="Times New Roman" w:hAnsi="Times New Roman" w:cs="Times New Roman"/>
          <w:bCs/>
        </w:rPr>
        <w:t>or the U</w:t>
      </w:r>
      <w:r w:rsidR="00AC0BC7" w:rsidRPr="0010176D">
        <w:rPr>
          <w:rFonts w:ascii="Times New Roman" w:hAnsi="Times New Roman" w:cs="Times New Roman"/>
          <w:bCs/>
        </w:rPr>
        <w:t>.S. Space Force</w:t>
      </w:r>
      <w:r w:rsidR="00300B65" w:rsidRPr="0010176D">
        <w:rPr>
          <w:rFonts w:ascii="Times New Roman" w:hAnsi="Times New Roman" w:cs="Times New Roman"/>
          <w:bCs/>
        </w:rPr>
        <w:t xml:space="preserve">, </w:t>
      </w:r>
      <w:r w:rsidR="006B0C2E" w:rsidRPr="0010176D">
        <w:rPr>
          <w:rFonts w:ascii="Times New Roman" w:hAnsi="Times New Roman" w:cs="Times New Roman"/>
          <w:bCs/>
        </w:rPr>
        <w:t>the comfort zone</w:t>
      </w:r>
      <w:r w:rsidR="006F7808" w:rsidRPr="0010176D">
        <w:rPr>
          <w:rFonts w:ascii="Times New Roman" w:hAnsi="Times New Roman" w:cs="Times New Roman"/>
          <w:bCs/>
        </w:rPr>
        <w:t xml:space="preserve"> was well entrenched. </w:t>
      </w:r>
      <w:r w:rsidR="009E5A89" w:rsidRPr="0010176D">
        <w:rPr>
          <w:rFonts w:ascii="Times New Roman" w:hAnsi="Times New Roman" w:cs="Times New Roman"/>
          <w:bCs/>
        </w:rPr>
        <w:t xml:space="preserve">In the late 1990s, the U.S. launch industry suffered five major failures, losing </w:t>
      </w:r>
      <w:r w:rsidR="00076060">
        <w:rPr>
          <w:rFonts w:ascii="Times New Roman" w:hAnsi="Times New Roman" w:cs="Times New Roman"/>
          <w:bCs/>
        </w:rPr>
        <w:t xml:space="preserve">U.S. </w:t>
      </w:r>
      <w:r w:rsidR="009E5A89" w:rsidRPr="0010176D">
        <w:rPr>
          <w:rFonts w:ascii="Times New Roman" w:hAnsi="Times New Roman" w:cs="Times New Roman"/>
          <w:bCs/>
        </w:rPr>
        <w:t>Air Force and N</w:t>
      </w:r>
      <w:r w:rsidR="0025256C" w:rsidRPr="0010176D">
        <w:rPr>
          <w:rFonts w:ascii="Times New Roman" w:hAnsi="Times New Roman" w:cs="Times New Roman"/>
          <w:bCs/>
        </w:rPr>
        <w:t xml:space="preserve">ational Reconnaissance (NRO) </w:t>
      </w:r>
      <w:r w:rsidR="009E5A89" w:rsidRPr="0010176D">
        <w:rPr>
          <w:rFonts w:ascii="Times New Roman" w:hAnsi="Times New Roman" w:cs="Times New Roman"/>
          <w:bCs/>
        </w:rPr>
        <w:t xml:space="preserve">payloads totaling over $3 </w:t>
      </w:r>
      <w:r w:rsidR="009E5A89" w:rsidRPr="0010176D">
        <w:rPr>
          <w:rFonts w:ascii="Times New Roman" w:hAnsi="Times New Roman" w:cs="Times New Roman"/>
          <w:bCs/>
        </w:rPr>
        <w:lastRenderedPageBreak/>
        <w:t>billion.</w:t>
      </w:r>
      <w:r w:rsidR="004613A6" w:rsidRPr="0010176D">
        <w:rPr>
          <w:rStyle w:val="FootnoteReference"/>
          <w:rFonts w:ascii="Times New Roman" w:hAnsi="Times New Roman" w:cs="Times New Roman"/>
          <w:bCs/>
        </w:rPr>
        <w:footnoteReference w:id="29"/>
      </w:r>
      <w:r w:rsidR="009E5A89" w:rsidRPr="0010176D">
        <w:rPr>
          <w:rFonts w:ascii="Times New Roman" w:hAnsi="Times New Roman" w:cs="Times New Roman"/>
          <w:bCs/>
        </w:rPr>
        <w:t xml:space="preserve"> </w:t>
      </w:r>
      <w:r w:rsidR="00DF651C" w:rsidRPr="0010176D">
        <w:rPr>
          <w:rFonts w:ascii="Times New Roman" w:hAnsi="Times New Roman" w:cs="Times New Roman"/>
          <w:bCs/>
        </w:rPr>
        <w:t xml:space="preserve">Established </w:t>
      </w:r>
      <w:r w:rsidR="007E376D" w:rsidRPr="0010176D">
        <w:rPr>
          <w:rFonts w:ascii="Times New Roman" w:hAnsi="Times New Roman" w:cs="Times New Roman"/>
          <w:bCs/>
        </w:rPr>
        <w:t>in and following</w:t>
      </w:r>
      <w:r w:rsidR="00DF651C" w:rsidRPr="0010176D">
        <w:rPr>
          <w:rFonts w:ascii="Times New Roman" w:hAnsi="Times New Roman" w:cs="Times New Roman"/>
          <w:bCs/>
        </w:rPr>
        <w:t xml:space="preserve"> </w:t>
      </w:r>
      <w:r w:rsidR="00D87B5E" w:rsidRPr="0010176D">
        <w:rPr>
          <w:rFonts w:ascii="Times New Roman" w:hAnsi="Times New Roman" w:cs="Times New Roman"/>
          <w:bCs/>
        </w:rPr>
        <w:t>a series of Broad Area Reviews (BAR)</w:t>
      </w:r>
      <w:r w:rsidR="007E376D" w:rsidRPr="0010176D">
        <w:rPr>
          <w:rFonts w:ascii="Times New Roman" w:hAnsi="Times New Roman" w:cs="Times New Roman"/>
          <w:bCs/>
        </w:rPr>
        <w:t xml:space="preserve"> that </w:t>
      </w:r>
      <w:r w:rsidR="00C06C45" w:rsidRPr="0010176D">
        <w:rPr>
          <w:rFonts w:ascii="Times New Roman" w:hAnsi="Times New Roman" w:cs="Times New Roman"/>
          <w:bCs/>
        </w:rPr>
        <w:t>addressed these failures</w:t>
      </w:r>
      <w:r w:rsidR="00D87B5E" w:rsidRPr="0010176D">
        <w:rPr>
          <w:rFonts w:ascii="Times New Roman" w:hAnsi="Times New Roman" w:cs="Times New Roman"/>
          <w:bCs/>
        </w:rPr>
        <w:t xml:space="preserve">, the </w:t>
      </w:r>
      <w:r w:rsidR="00E313D3" w:rsidRPr="0010176D">
        <w:rPr>
          <w:rFonts w:ascii="Times New Roman" w:hAnsi="Times New Roman" w:cs="Times New Roman"/>
          <w:bCs/>
        </w:rPr>
        <w:t xml:space="preserve">various </w:t>
      </w:r>
      <w:r w:rsidR="006B0C2E" w:rsidRPr="0010176D">
        <w:rPr>
          <w:rFonts w:ascii="Times New Roman" w:hAnsi="Times New Roman" w:cs="Times New Roman"/>
          <w:bCs/>
        </w:rPr>
        <w:t xml:space="preserve">launch and range </w:t>
      </w:r>
      <w:r w:rsidR="00890C8B" w:rsidRPr="0010176D">
        <w:rPr>
          <w:rFonts w:ascii="Times New Roman" w:hAnsi="Times New Roman" w:cs="Times New Roman"/>
          <w:bCs/>
        </w:rPr>
        <w:t xml:space="preserve">policies, guidelines, and procedures </w:t>
      </w:r>
      <w:r w:rsidR="005D0CE3">
        <w:rPr>
          <w:rFonts w:ascii="Times New Roman" w:hAnsi="Times New Roman" w:cs="Times New Roman"/>
          <w:bCs/>
        </w:rPr>
        <w:t xml:space="preserve">that were established became </w:t>
      </w:r>
      <w:r w:rsidR="00DF651C" w:rsidRPr="0010176D">
        <w:rPr>
          <w:rFonts w:ascii="Times New Roman" w:hAnsi="Times New Roman" w:cs="Times New Roman"/>
          <w:bCs/>
        </w:rPr>
        <w:t xml:space="preserve">key contributors to the highly successful military and intelligence </w:t>
      </w:r>
      <w:r w:rsidR="009A1EF5" w:rsidRPr="0010176D">
        <w:rPr>
          <w:rFonts w:ascii="Times New Roman" w:hAnsi="Times New Roman" w:cs="Times New Roman"/>
          <w:bCs/>
        </w:rPr>
        <w:t xml:space="preserve">space launch activities through the turn of the century and into the </w:t>
      </w:r>
      <w:r w:rsidR="00175AF3" w:rsidRPr="0010176D">
        <w:rPr>
          <w:rFonts w:ascii="Times New Roman" w:hAnsi="Times New Roman" w:cs="Times New Roman"/>
          <w:bCs/>
        </w:rPr>
        <w:t>2020s</w:t>
      </w:r>
      <w:r w:rsidR="009A1EF5" w:rsidRPr="0010176D">
        <w:rPr>
          <w:rFonts w:ascii="Times New Roman" w:hAnsi="Times New Roman" w:cs="Times New Roman"/>
          <w:bCs/>
        </w:rPr>
        <w:t>.</w:t>
      </w:r>
      <w:r w:rsidR="00C06C45" w:rsidRPr="0010176D">
        <w:rPr>
          <w:rFonts w:ascii="Times New Roman" w:hAnsi="Times New Roman" w:cs="Times New Roman"/>
          <w:bCs/>
        </w:rPr>
        <w:t xml:space="preserve"> Thus</w:t>
      </w:r>
      <w:r w:rsidR="00175AF3" w:rsidRPr="0010176D">
        <w:rPr>
          <w:rFonts w:ascii="Times New Roman" w:hAnsi="Times New Roman" w:cs="Times New Roman"/>
          <w:bCs/>
        </w:rPr>
        <w:t>,</w:t>
      </w:r>
      <w:r w:rsidR="00C06C45" w:rsidRPr="0010176D">
        <w:rPr>
          <w:rFonts w:ascii="Times New Roman" w:hAnsi="Times New Roman" w:cs="Times New Roman"/>
          <w:bCs/>
        </w:rPr>
        <w:t xml:space="preserve"> the </w:t>
      </w:r>
      <w:r w:rsidR="00E54088" w:rsidRPr="0010176D">
        <w:rPr>
          <w:rFonts w:ascii="Times New Roman" w:hAnsi="Times New Roman" w:cs="Times New Roman"/>
          <w:bCs/>
        </w:rPr>
        <w:t xml:space="preserve">men and women operating the range and conducting mission assurance for the government </w:t>
      </w:r>
      <w:r w:rsidR="00125C1B" w:rsidRPr="0010176D">
        <w:rPr>
          <w:rFonts w:ascii="Times New Roman" w:hAnsi="Times New Roman" w:cs="Times New Roman"/>
          <w:bCs/>
        </w:rPr>
        <w:t xml:space="preserve">were highly technical, highly skilled, and highly motivated to </w:t>
      </w:r>
      <w:r w:rsidR="00D825CA" w:rsidRPr="0010176D">
        <w:rPr>
          <w:rFonts w:ascii="Times New Roman" w:hAnsi="Times New Roman" w:cs="Times New Roman"/>
          <w:bCs/>
        </w:rPr>
        <w:t xml:space="preserve">prioritize mission success over speed. </w:t>
      </w:r>
      <w:r w:rsidR="00125C1B" w:rsidRPr="0010176D">
        <w:rPr>
          <w:rFonts w:ascii="Times New Roman" w:hAnsi="Times New Roman" w:cs="Times New Roman"/>
          <w:bCs/>
        </w:rPr>
        <w:t xml:space="preserve"> </w:t>
      </w:r>
    </w:p>
    <w:p w14:paraId="2FAF3E51" w14:textId="4BF348ED" w:rsidR="00300B65"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E2489A" w:rsidRPr="0010176D">
        <w:rPr>
          <w:rFonts w:ascii="Times New Roman" w:hAnsi="Times New Roman" w:cs="Times New Roman"/>
          <w:bCs/>
        </w:rPr>
        <w:t>T</w:t>
      </w:r>
      <w:r w:rsidR="00300B65" w:rsidRPr="0010176D">
        <w:rPr>
          <w:rFonts w:ascii="Times New Roman" w:hAnsi="Times New Roman" w:cs="Times New Roman"/>
          <w:bCs/>
        </w:rPr>
        <w:t xml:space="preserve">he </w:t>
      </w:r>
      <w:r w:rsidR="00C83B5A" w:rsidRPr="0010176D">
        <w:rPr>
          <w:rFonts w:ascii="Times New Roman" w:hAnsi="Times New Roman" w:cs="Times New Roman"/>
          <w:bCs/>
        </w:rPr>
        <w:t xml:space="preserve">impetus to support commercial space to the maximum extent possible </w:t>
      </w:r>
      <w:r w:rsidR="00300B65" w:rsidRPr="0010176D">
        <w:rPr>
          <w:rFonts w:ascii="Times New Roman" w:hAnsi="Times New Roman" w:cs="Times New Roman"/>
          <w:bCs/>
        </w:rPr>
        <w:t>was</w:t>
      </w:r>
      <w:r w:rsidR="00564516" w:rsidRPr="0010176D">
        <w:rPr>
          <w:rFonts w:ascii="Times New Roman" w:hAnsi="Times New Roman" w:cs="Times New Roman"/>
          <w:bCs/>
        </w:rPr>
        <w:t xml:space="preserve"> both </w:t>
      </w:r>
      <w:r w:rsidR="00AC0BC7" w:rsidRPr="0010176D">
        <w:rPr>
          <w:rFonts w:ascii="Times New Roman" w:hAnsi="Times New Roman" w:cs="Times New Roman"/>
          <w:bCs/>
        </w:rPr>
        <w:t xml:space="preserve">top-down from </w:t>
      </w:r>
      <w:r w:rsidR="00E2489A" w:rsidRPr="0010176D">
        <w:rPr>
          <w:rFonts w:ascii="Times New Roman" w:hAnsi="Times New Roman" w:cs="Times New Roman"/>
          <w:bCs/>
        </w:rPr>
        <w:t xml:space="preserve">within the Executive Branch and </w:t>
      </w:r>
      <w:r w:rsidR="00C83B5A" w:rsidRPr="0010176D">
        <w:rPr>
          <w:rFonts w:ascii="Times New Roman" w:hAnsi="Times New Roman" w:cs="Times New Roman"/>
          <w:bCs/>
        </w:rPr>
        <w:t>codified</w:t>
      </w:r>
      <w:r w:rsidR="00E2489A" w:rsidRPr="0010176D">
        <w:rPr>
          <w:rFonts w:ascii="Times New Roman" w:hAnsi="Times New Roman" w:cs="Times New Roman"/>
          <w:bCs/>
        </w:rPr>
        <w:t xml:space="preserve"> by Congress, as detailed e</w:t>
      </w:r>
      <w:r w:rsidR="00487383" w:rsidRPr="0010176D">
        <w:rPr>
          <w:rFonts w:ascii="Times New Roman" w:hAnsi="Times New Roman" w:cs="Times New Roman"/>
          <w:bCs/>
        </w:rPr>
        <w:t xml:space="preserve">arlier. </w:t>
      </w:r>
      <w:r w:rsidR="00C83B5A" w:rsidRPr="0010176D">
        <w:rPr>
          <w:rFonts w:ascii="Times New Roman" w:hAnsi="Times New Roman" w:cs="Times New Roman"/>
          <w:bCs/>
        </w:rPr>
        <w:t>But the urgency</w:t>
      </w:r>
      <w:r w:rsidR="00C33181">
        <w:rPr>
          <w:rFonts w:ascii="Times New Roman" w:hAnsi="Times New Roman" w:cs="Times New Roman"/>
          <w:bCs/>
        </w:rPr>
        <w:t xml:space="preserve"> or speed</w:t>
      </w:r>
      <w:r w:rsidR="00C83B5A" w:rsidRPr="0010176D">
        <w:rPr>
          <w:rFonts w:ascii="Times New Roman" w:hAnsi="Times New Roman" w:cs="Times New Roman"/>
          <w:bCs/>
        </w:rPr>
        <w:t xml:space="preserve"> to change was </w:t>
      </w:r>
      <w:r w:rsidR="00E63EDE" w:rsidRPr="0010176D">
        <w:rPr>
          <w:rFonts w:ascii="Times New Roman" w:hAnsi="Times New Roman" w:cs="Times New Roman"/>
          <w:bCs/>
        </w:rPr>
        <w:t xml:space="preserve">not specifically a goal until the launch demand materially changed with the </w:t>
      </w:r>
      <w:r w:rsidR="002E39D8" w:rsidRPr="0010176D">
        <w:rPr>
          <w:rFonts w:ascii="Times New Roman" w:hAnsi="Times New Roman" w:cs="Times New Roman"/>
          <w:bCs/>
        </w:rPr>
        <w:t xml:space="preserve">proliferation of low earth orbit broadband communication constellations. </w:t>
      </w:r>
      <w:r w:rsidR="00300B65" w:rsidRPr="0010176D">
        <w:rPr>
          <w:rFonts w:ascii="Times New Roman" w:hAnsi="Times New Roman" w:cs="Times New Roman"/>
          <w:bCs/>
        </w:rPr>
        <w:t xml:space="preserve">The </w:t>
      </w:r>
      <w:r w:rsidR="002E39D8" w:rsidRPr="0010176D">
        <w:rPr>
          <w:rFonts w:ascii="Times New Roman" w:hAnsi="Times New Roman" w:cs="Times New Roman"/>
          <w:bCs/>
        </w:rPr>
        <w:t xml:space="preserve">U.S. </w:t>
      </w:r>
      <w:r w:rsidR="00300B65" w:rsidRPr="0010176D">
        <w:rPr>
          <w:rFonts w:ascii="Times New Roman" w:hAnsi="Times New Roman" w:cs="Times New Roman"/>
          <w:bCs/>
        </w:rPr>
        <w:t xml:space="preserve">Space Force realized that if it remained a rigid, slow-moving operator, it would become a bottleneck to </w:t>
      </w:r>
      <w:r w:rsidR="002E39D8" w:rsidRPr="0010176D">
        <w:rPr>
          <w:rFonts w:ascii="Times New Roman" w:hAnsi="Times New Roman" w:cs="Times New Roman"/>
          <w:bCs/>
        </w:rPr>
        <w:t xml:space="preserve">launch cadence </w:t>
      </w:r>
      <w:r w:rsidR="00300B65" w:rsidRPr="0010176D">
        <w:rPr>
          <w:rFonts w:ascii="Times New Roman" w:hAnsi="Times New Roman" w:cs="Times New Roman"/>
          <w:bCs/>
        </w:rPr>
        <w:t>rather than an enabler</w:t>
      </w:r>
      <w:r w:rsidR="00D8605C">
        <w:rPr>
          <w:rFonts w:ascii="Times New Roman" w:hAnsi="Times New Roman" w:cs="Times New Roman"/>
          <w:bCs/>
        </w:rPr>
        <w:t xml:space="preserve">. </w:t>
      </w:r>
      <w:r w:rsidR="0009247A" w:rsidRPr="0009247A">
        <w:rPr>
          <w:rFonts w:ascii="Times New Roman" w:hAnsi="Times New Roman" w:cs="Times New Roman"/>
          <w:bCs/>
        </w:rPr>
        <w:t xml:space="preserve">This recognition was formally articulated in the Service’s 2020 </w:t>
      </w:r>
      <w:r w:rsidR="0009247A" w:rsidRPr="0009247A">
        <w:rPr>
          <w:rFonts w:ascii="Times New Roman" w:hAnsi="Times New Roman" w:cs="Times New Roman"/>
          <w:bCs/>
          <w:i/>
          <w:iCs/>
        </w:rPr>
        <w:t>Range of the Future 2028</w:t>
      </w:r>
      <w:r w:rsidR="0009247A" w:rsidRPr="0009247A">
        <w:rPr>
          <w:rFonts w:ascii="Times New Roman" w:hAnsi="Times New Roman" w:cs="Times New Roman"/>
          <w:bCs/>
        </w:rPr>
        <w:t xml:space="preserve"> vision, which explicitly called for transforming federal ranges into agile, high</w:t>
      </w:r>
      <w:r w:rsidR="0009247A" w:rsidRPr="0009247A">
        <w:rPr>
          <w:rFonts w:ascii="Times New Roman" w:hAnsi="Times New Roman" w:cs="Times New Roman"/>
          <w:bCs/>
        </w:rPr>
        <w:noBreakHyphen/>
        <w:t>capacity national spaceports.</w:t>
      </w:r>
      <w:r w:rsidR="00312268">
        <w:rPr>
          <w:rStyle w:val="FootnoteReference"/>
          <w:rFonts w:ascii="Times New Roman" w:hAnsi="Times New Roman" w:cs="Times New Roman"/>
          <w:bCs/>
        </w:rPr>
        <w:footnoteReference w:id="30"/>
      </w:r>
      <w:r w:rsidR="00020367">
        <w:rPr>
          <w:rFonts w:ascii="Times New Roman" w:hAnsi="Times New Roman" w:cs="Times New Roman"/>
          <w:bCs/>
        </w:rPr>
        <w:t xml:space="preserve"> </w:t>
      </w:r>
      <w:r w:rsidR="001C2F2B">
        <w:rPr>
          <w:rFonts w:ascii="Times New Roman" w:hAnsi="Times New Roman" w:cs="Times New Roman"/>
          <w:bCs/>
        </w:rPr>
        <w:t>Furthermore, t</w:t>
      </w:r>
      <w:r w:rsidR="00300B65" w:rsidRPr="0010176D">
        <w:rPr>
          <w:rFonts w:ascii="Times New Roman" w:hAnsi="Times New Roman" w:cs="Times New Roman"/>
          <w:bCs/>
        </w:rPr>
        <w:t xml:space="preserve">his realization forced a frank </w:t>
      </w:r>
      <w:r w:rsidR="002E39D8" w:rsidRPr="0010176D">
        <w:rPr>
          <w:rFonts w:ascii="Times New Roman" w:hAnsi="Times New Roman" w:cs="Times New Roman"/>
          <w:bCs/>
        </w:rPr>
        <w:t xml:space="preserve">conversation </w:t>
      </w:r>
      <w:r w:rsidR="00300B65" w:rsidRPr="0010176D">
        <w:rPr>
          <w:rFonts w:ascii="Times New Roman" w:hAnsi="Times New Roman" w:cs="Times New Roman"/>
          <w:bCs/>
        </w:rPr>
        <w:t xml:space="preserve">about </w:t>
      </w:r>
      <w:r w:rsidR="00FA5916" w:rsidRPr="0010176D">
        <w:rPr>
          <w:rFonts w:ascii="Times New Roman" w:hAnsi="Times New Roman" w:cs="Times New Roman"/>
          <w:bCs/>
        </w:rPr>
        <w:t xml:space="preserve">the Eastern and Western Ranges’ capacities and </w:t>
      </w:r>
      <w:r w:rsidR="00300B65" w:rsidRPr="0010176D">
        <w:rPr>
          <w:rFonts w:ascii="Times New Roman" w:hAnsi="Times New Roman" w:cs="Times New Roman"/>
          <w:bCs/>
        </w:rPr>
        <w:t>margins</w:t>
      </w:r>
      <w:r w:rsidR="00FA5916" w:rsidRPr="0010176D">
        <w:rPr>
          <w:rFonts w:ascii="Times New Roman" w:hAnsi="Times New Roman" w:cs="Times New Roman"/>
          <w:bCs/>
        </w:rPr>
        <w:t xml:space="preserve"> to support industry against the backdrop of balancing national security and commercial missions. </w:t>
      </w:r>
    </w:p>
    <w:p w14:paraId="27BBCCA8" w14:textId="42164B03" w:rsidR="00AF2B5B"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A821BC">
        <w:rPr>
          <w:rFonts w:ascii="Times New Roman" w:hAnsi="Times New Roman" w:cs="Times New Roman"/>
          <w:bCs/>
        </w:rPr>
        <w:t xml:space="preserve">At the operational level, </w:t>
      </w:r>
      <w:r w:rsidR="00563E58" w:rsidRPr="0010176D">
        <w:rPr>
          <w:rFonts w:ascii="Times New Roman" w:hAnsi="Times New Roman" w:cs="Times New Roman"/>
          <w:bCs/>
        </w:rPr>
        <w:t xml:space="preserve">U.S. Space Force leaders at Cape Canaveral Space Force Station and Vandenberg Space Force Base </w:t>
      </w:r>
      <w:r w:rsidR="00FE28A9" w:rsidRPr="0010176D">
        <w:rPr>
          <w:rFonts w:ascii="Times New Roman" w:hAnsi="Times New Roman" w:cs="Times New Roman"/>
          <w:bCs/>
        </w:rPr>
        <w:t xml:space="preserve">recognized the urgency needed to change. </w:t>
      </w:r>
      <w:r w:rsidR="00FA10D3" w:rsidRPr="0010176D">
        <w:rPr>
          <w:rFonts w:ascii="Times New Roman" w:hAnsi="Times New Roman" w:cs="Times New Roman"/>
          <w:bCs/>
        </w:rPr>
        <w:t xml:space="preserve">Various </w:t>
      </w:r>
      <w:r w:rsidR="00F23C85" w:rsidRPr="0010176D">
        <w:rPr>
          <w:rFonts w:ascii="Times New Roman" w:hAnsi="Times New Roman" w:cs="Times New Roman"/>
          <w:bCs/>
        </w:rPr>
        <w:t>efforts</w:t>
      </w:r>
      <w:r w:rsidR="00FA10D3" w:rsidRPr="0010176D">
        <w:rPr>
          <w:rFonts w:ascii="Times New Roman" w:hAnsi="Times New Roman" w:cs="Times New Roman"/>
          <w:bCs/>
        </w:rPr>
        <w:t xml:space="preserve">, such as the </w:t>
      </w:r>
      <w:r w:rsidR="00C302D2" w:rsidRPr="0010176D">
        <w:rPr>
          <w:rFonts w:ascii="Times New Roman" w:hAnsi="Times New Roman" w:cs="Times New Roman"/>
          <w:bCs/>
        </w:rPr>
        <w:t>“</w:t>
      </w:r>
      <w:r w:rsidR="00F069DB" w:rsidRPr="0010176D">
        <w:rPr>
          <w:rFonts w:ascii="Times New Roman" w:hAnsi="Times New Roman" w:cs="Times New Roman"/>
          <w:bCs/>
        </w:rPr>
        <w:t>Race</w:t>
      </w:r>
      <w:r w:rsidR="00C302D2" w:rsidRPr="0010176D">
        <w:rPr>
          <w:rFonts w:ascii="Times New Roman" w:hAnsi="Times New Roman" w:cs="Times New Roman"/>
          <w:bCs/>
        </w:rPr>
        <w:t xml:space="preserve"> to 48</w:t>
      </w:r>
      <w:r w:rsidR="00496054" w:rsidRPr="0010176D">
        <w:rPr>
          <w:rFonts w:ascii="Times New Roman" w:hAnsi="Times New Roman" w:cs="Times New Roman"/>
          <w:bCs/>
        </w:rPr>
        <w:t>”</w:t>
      </w:r>
      <w:r w:rsidR="00F23C85" w:rsidRPr="0010176D">
        <w:rPr>
          <w:rFonts w:ascii="Times New Roman" w:hAnsi="Times New Roman" w:cs="Times New Roman"/>
          <w:bCs/>
        </w:rPr>
        <w:t xml:space="preserve"> campaign,</w:t>
      </w:r>
      <w:r w:rsidR="00C302D2" w:rsidRPr="0010176D">
        <w:rPr>
          <w:rFonts w:ascii="Times New Roman" w:hAnsi="Times New Roman" w:cs="Times New Roman"/>
          <w:bCs/>
        </w:rPr>
        <w:t xml:space="preserve"> highlighted this top-down leadership </w:t>
      </w:r>
      <w:r w:rsidR="007C3F23" w:rsidRPr="0010176D">
        <w:rPr>
          <w:rFonts w:ascii="Times New Roman" w:hAnsi="Times New Roman" w:cs="Times New Roman"/>
          <w:bCs/>
        </w:rPr>
        <w:t>vision</w:t>
      </w:r>
      <w:r w:rsidR="00C059DA" w:rsidRPr="0010176D">
        <w:rPr>
          <w:rFonts w:ascii="Times New Roman" w:hAnsi="Times New Roman" w:cs="Times New Roman"/>
          <w:bCs/>
        </w:rPr>
        <w:t>.</w:t>
      </w:r>
      <w:r w:rsidR="00C059DA" w:rsidRPr="0010176D">
        <w:rPr>
          <w:rStyle w:val="FootnoteReference"/>
          <w:rFonts w:ascii="Times New Roman" w:hAnsi="Times New Roman" w:cs="Times New Roman"/>
          <w:bCs/>
        </w:rPr>
        <w:footnoteReference w:id="31"/>
      </w:r>
      <w:r w:rsidR="00C059DA" w:rsidRPr="0010176D">
        <w:rPr>
          <w:rFonts w:ascii="Times New Roman" w:hAnsi="Times New Roman" w:cs="Times New Roman"/>
          <w:bCs/>
        </w:rPr>
        <w:t xml:space="preserve"> </w:t>
      </w:r>
      <w:r w:rsidR="00AF2B5B" w:rsidRPr="0010176D">
        <w:rPr>
          <w:rFonts w:ascii="Times New Roman" w:hAnsi="Times New Roman" w:cs="Times New Roman"/>
          <w:bCs/>
        </w:rPr>
        <w:t>The "Race to 48" served as a direct application of Kotter’s first step in leading organizational change</w:t>
      </w:r>
      <w:r w:rsidR="00F83609" w:rsidRPr="0010176D">
        <w:rPr>
          <w:rFonts w:ascii="Times New Roman" w:hAnsi="Times New Roman" w:cs="Times New Roman"/>
          <w:bCs/>
        </w:rPr>
        <w:t xml:space="preserve"> b</w:t>
      </w:r>
      <w:r w:rsidR="00AF2B5B" w:rsidRPr="0010176D">
        <w:rPr>
          <w:rFonts w:ascii="Times New Roman" w:hAnsi="Times New Roman" w:cs="Times New Roman"/>
          <w:bCs/>
        </w:rPr>
        <w:t xml:space="preserve">y </w:t>
      </w:r>
      <w:r w:rsidR="00AF2B5B" w:rsidRPr="0010176D">
        <w:rPr>
          <w:rFonts w:ascii="Times New Roman" w:hAnsi="Times New Roman" w:cs="Times New Roman"/>
          <w:bCs/>
        </w:rPr>
        <w:lastRenderedPageBreak/>
        <w:t>creating a clear, time-bound challenge to increase launch cadence</w:t>
      </w:r>
      <w:r w:rsidR="00634308" w:rsidRPr="0010176D">
        <w:rPr>
          <w:rFonts w:ascii="Times New Roman" w:hAnsi="Times New Roman" w:cs="Times New Roman"/>
          <w:bCs/>
        </w:rPr>
        <w:t xml:space="preserve">. Kotter argues that for change to succeed, leaders must </w:t>
      </w:r>
      <w:r w:rsidR="00BB2903" w:rsidRPr="0010176D">
        <w:rPr>
          <w:rFonts w:ascii="Times New Roman" w:hAnsi="Times New Roman" w:cs="Times New Roman"/>
          <w:bCs/>
        </w:rPr>
        <w:t>“</w:t>
      </w:r>
      <w:r w:rsidR="00634308" w:rsidRPr="0010176D">
        <w:rPr>
          <w:rFonts w:ascii="Times New Roman" w:hAnsi="Times New Roman" w:cs="Times New Roman"/>
          <w:bCs/>
        </w:rPr>
        <w:t xml:space="preserve">make the status quo seem more dangerous than </w:t>
      </w:r>
      <w:r w:rsidR="00BB2903" w:rsidRPr="0010176D">
        <w:rPr>
          <w:rFonts w:ascii="Times New Roman" w:hAnsi="Times New Roman" w:cs="Times New Roman"/>
          <w:bCs/>
        </w:rPr>
        <w:t>launching into the unknown.”</w:t>
      </w:r>
      <w:r w:rsidR="003A7313" w:rsidRPr="0010176D">
        <w:rPr>
          <w:rFonts w:ascii="Times New Roman" w:hAnsi="Times New Roman" w:cs="Times New Roman"/>
          <w:bCs/>
        </w:rPr>
        <w:t xml:space="preserve"> </w:t>
      </w:r>
      <w:r w:rsidR="004B6846" w:rsidRPr="0010176D">
        <w:rPr>
          <w:rStyle w:val="FootnoteReference"/>
          <w:rFonts w:ascii="Times New Roman" w:hAnsi="Times New Roman" w:cs="Times New Roman"/>
          <w:bCs/>
        </w:rPr>
        <w:footnoteReference w:id="32"/>
      </w:r>
      <w:r w:rsidR="00F83609" w:rsidRPr="0010176D">
        <w:rPr>
          <w:rFonts w:ascii="Times New Roman" w:hAnsi="Times New Roman" w:cs="Times New Roman"/>
          <w:bCs/>
        </w:rPr>
        <w:t xml:space="preserve"> </w:t>
      </w:r>
      <w:r w:rsidR="00BB2903" w:rsidRPr="0010176D">
        <w:rPr>
          <w:rFonts w:ascii="Times New Roman" w:hAnsi="Times New Roman" w:cs="Times New Roman"/>
          <w:bCs/>
        </w:rPr>
        <w:t>Before the surge in launch rates, the range operated under a "zero-sum" mindset w</w:t>
      </w:r>
      <w:r w:rsidR="00AF2B5B" w:rsidRPr="0010176D">
        <w:rPr>
          <w:rFonts w:ascii="Times New Roman" w:hAnsi="Times New Roman" w:cs="Times New Roman"/>
          <w:bCs/>
        </w:rPr>
        <w:t>here one launch necessarily prevented another</w:t>
      </w:r>
      <w:r w:rsidR="00BB2903" w:rsidRPr="0010176D">
        <w:rPr>
          <w:rFonts w:ascii="Times New Roman" w:hAnsi="Times New Roman" w:cs="Times New Roman"/>
          <w:bCs/>
        </w:rPr>
        <w:t xml:space="preserve">. </w:t>
      </w:r>
      <w:r w:rsidR="00A97F86" w:rsidRPr="0010176D">
        <w:rPr>
          <w:rFonts w:ascii="Times New Roman" w:hAnsi="Times New Roman" w:cs="Times New Roman"/>
          <w:bCs/>
        </w:rPr>
        <w:t xml:space="preserve">The various leadership campaigns shifted the mindset from status quo to a race </w:t>
      </w:r>
      <w:proofErr w:type="gramStart"/>
      <w:r w:rsidR="00A97F86" w:rsidRPr="0010176D">
        <w:rPr>
          <w:rFonts w:ascii="Times New Roman" w:hAnsi="Times New Roman" w:cs="Times New Roman"/>
          <w:bCs/>
        </w:rPr>
        <w:t>in an attempt to</w:t>
      </w:r>
      <w:proofErr w:type="gramEnd"/>
      <w:r w:rsidR="00A97F86" w:rsidRPr="0010176D">
        <w:rPr>
          <w:rFonts w:ascii="Times New Roman" w:hAnsi="Times New Roman" w:cs="Times New Roman"/>
          <w:bCs/>
        </w:rPr>
        <w:t xml:space="preserve"> overcome organizational inertia. </w:t>
      </w:r>
    </w:p>
    <w:p w14:paraId="4FD65E24" w14:textId="5C48DBDB" w:rsidR="00363F8E"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073CC8" w:rsidRPr="0010176D">
        <w:rPr>
          <w:rFonts w:ascii="Times New Roman" w:hAnsi="Times New Roman" w:cs="Times New Roman"/>
          <w:bCs/>
        </w:rPr>
        <w:t>As highlighted above,</w:t>
      </w:r>
      <w:r w:rsidR="00A97F86" w:rsidRPr="0010176D">
        <w:rPr>
          <w:rFonts w:ascii="Times New Roman" w:hAnsi="Times New Roman" w:cs="Times New Roman"/>
          <w:bCs/>
        </w:rPr>
        <w:t xml:space="preserve"> </w:t>
      </w:r>
      <w:r w:rsidR="00D40FDC" w:rsidRPr="0010176D">
        <w:rPr>
          <w:rFonts w:ascii="Times New Roman" w:hAnsi="Times New Roman" w:cs="Times New Roman"/>
          <w:bCs/>
        </w:rPr>
        <w:t xml:space="preserve">the U.S. Space Force </w:t>
      </w:r>
      <w:r w:rsidR="00A97F86" w:rsidRPr="0010176D">
        <w:rPr>
          <w:rFonts w:ascii="Times New Roman" w:hAnsi="Times New Roman" w:cs="Times New Roman"/>
          <w:bCs/>
        </w:rPr>
        <w:t>communicated</w:t>
      </w:r>
      <w:r w:rsidR="00B06ECF" w:rsidRPr="0010176D">
        <w:rPr>
          <w:rFonts w:ascii="Times New Roman" w:hAnsi="Times New Roman" w:cs="Times New Roman"/>
          <w:bCs/>
        </w:rPr>
        <w:t xml:space="preserve"> and</w:t>
      </w:r>
      <w:r w:rsidR="00A97F86" w:rsidRPr="0010176D">
        <w:rPr>
          <w:rFonts w:ascii="Times New Roman" w:hAnsi="Times New Roman" w:cs="Times New Roman"/>
          <w:bCs/>
        </w:rPr>
        <w:t xml:space="preserve"> championed</w:t>
      </w:r>
      <w:r w:rsidR="00B06ECF" w:rsidRPr="0010176D">
        <w:rPr>
          <w:rFonts w:ascii="Times New Roman" w:hAnsi="Times New Roman" w:cs="Times New Roman"/>
          <w:bCs/>
        </w:rPr>
        <w:t xml:space="preserve"> urgency,</w:t>
      </w:r>
      <w:r w:rsidR="006A5656" w:rsidRPr="0010176D">
        <w:rPr>
          <w:rFonts w:ascii="Times New Roman" w:hAnsi="Times New Roman" w:cs="Times New Roman"/>
          <w:bCs/>
        </w:rPr>
        <w:t xml:space="preserve"> </w:t>
      </w:r>
      <w:r w:rsidR="00073CC8" w:rsidRPr="0010176D">
        <w:rPr>
          <w:rFonts w:ascii="Times New Roman" w:hAnsi="Times New Roman" w:cs="Times New Roman"/>
          <w:bCs/>
        </w:rPr>
        <w:t xml:space="preserve">but </w:t>
      </w:r>
      <w:r w:rsidR="006A5656" w:rsidRPr="0010176D">
        <w:rPr>
          <w:rFonts w:ascii="Times New Roman" w:hAnsi="Times New Roman" w:cs="Times New Roman"/>
          <w:bCs/>
        </w:rPr>
        <w:t>i</w:t>
      </w:r>
      <w:r w:rsidR="001C3FA8" w:rsidRPr="0010176D">
        <w:rPr>
          <w:rFonts w:ascii="Times New Roman" w:hAnsi="Times New Roman" w:cs="Times New Roman"/>
          <w:bCs/>
        </w:rPr>
        <w:t xml:space="preserve">ndustry perspectives emphasized that </w:t>
      </w:r>
      <w:r w:rsidR="006A5656" w:rsidRPr="0010176D">
        <w:rPr>
          <w:rFonts w:ascii="Times New Roman" w:hAnsi="Times New Roman" w:cs="Times New Roman"/>
          <w:bCs/>
        </w:rPr>
        <w:t>that the pace was still too slow. Re</w:t>
      </w:r>
      <w:r w:rsidR="001C3FA8" w:rsidRPr="0010176D">
        <w:rPr>
          <w:rFonts w:ascii="Times New Roman" w:hAnsi="Times New Roman" w:cs="Times New Roman"/>
          <w:bCs/>
        </w:rPr>
        <w:t>gulatory p</w:t>
      </w:r>
      <w:r w:rsidR="005F318A" w:rsidRPr="0010176D">
        <w:rPr>
          <w:rFonts w:ascii="Times New Roman" w:hAnsi="Times New Roman" w:cs="Times New Roman"/>
          <w:bCs/>
        </w:rPr>
        <w:t>rocesses can</w:t>
      </w:r>
      <w:r w:rsidR="001C3FA8" w:rsidRPr="0010176D">
        <w:rPr>
          <w:rFonts w:ascii="Times New Roman" w:hAnsi="Times New Roman" w:cs="Times New Roman"/>
          <w:bCs/>
        </w:rPr>
        <w:t xml:space="preserve"> </w:t>
      </w:r>
      <w:r w:rsidR="006A5656" w:rsidRPr="0010176D">
        <w:rPr>
          <w:rFonts w:ascii="Times New Roman" w:hAnsi="Times New Roman" w:cs="Times New Roman"/>
          <w:bCs/>
        </w:rPr>
        <w:t>remain</w:t>
      </w:r>
      <w:r w:rsidR="001C3FA8" w:rsidRPr="0010176D">
        <w:rPr>
          <w:rFonts w:ascii="Times New Roman" w:hAnsi="Times New Roman" w:cs="Times New Roman"/>
          <w:bCs/>
        </w:rPr>
        <w:t xml:space="preserve"> a bottleneck, </w:t>
      </w:r>
      <w:r w:rsidR="006A5656" w:rsidRPr="0010176D">
        <w:rPr>
          <w:rFonts w:ascii="Times New Roman" w:hAnsi="Times New Roman" w:cs="Times New Roman"/>
          <w:bCs/>
        </w:rPr>
        <w:t xml:space="preserve">with </w:t>
      </w:r>
      <w:r w:rsidR="004C0B24" w:rsidRPr="0010176D">
        <w:rPr>
          <w:rFonts w:ascii="Times New Roman" w:hAnsi="Times New Roman" w:cs="Times New Roman"/>
          <w:bCs/>
        </w:rPr>
        <w:t xml:space="preserve">some in industry </w:t>
      </w:r>
      <w:r w:rsidR="001C3FA8" w:rsidRPr="0010176D">
        <w:rPr>
          <w:rFonts w:ascii="Times New Roman" w:hAnsi="Times New Roman" w:cs="Times New Roman"/>
          <w:bCs/>
        </w:rPr>
        <w:t>arguing</w:t>
      </w:r>
      <w:r w:rsidR="004C0B24" w:rsidRPr="0010176D">
        <w:rPr>
          <w:rFonts w:ascii="Times New Roman" w:hAnsi="Times New Roman" w:cs="Times New Roman"/>
          <w:bCs/>
        </w:rPr>
        <w:t xml:space="preserve"> regulations and licensing approv</w:t>
      </w:r>
      <w:r w:rsidR="00AC4D25" w:rsidRPr="0010176D">
        <w:rPr>
          <w:rFonts w:ascii="Times New Roman" w:hAnsi="Times New Roman" w:cs="Times New Roman"/>
          <w:bCs/>
        </w:rPr>
        <w:t>als</w:t>
      </w:r>
      <w:r w:rsidR="004C0B24" w:rsidRPr="0010176D">
        <w:rPr>
          <w:rFonts w:ascii="Times New Roman" w:hAnsi="Times New Roman" w:cs="Times New Roman"/>
          <w:bCs/>
        </w:rPr>
        <w:t xml:space="preserve"> take longer than rocket manufacturing.</w:t>
      </w:r>
      <w:r w:rsidR="000B1256" w:rsidRPr="0010176D">
        <w:rPr>
          <w:rStyle w:val="FootnoteReference"/>
          <w:rFonts w:ascii="Times New Roman" w:hAnsi="Times New Roman" w:cs="Times New Roman"/>
          <w:bCs/>
        </w:rPr>
        <w:footnoteReference w:id="33"/>
      </w:r>
      <w:r w:rsidR="005F318A" w:rsidRPr="0010176D">
        <w:rPr>
          <w:rFonts w:ascii="Times New Roman" w:hAnsi="Times New Roman" w:cs="Times New Roman"/>
          <w:bCs/>
        </w:rPr>
        <w:t xml:space="preserve"> </w:t>
      </w:r>
      <w:r w:rsidR="00466B1C" w:rsidRPr="0010176D">
        <w:rPr>
          <w:rFonts w:ascii="Times New Roman" w:hAnsi="Times New Roman" w:cs="Times New Roman"/>
          <w:bCs/>
        </w:rPr>
        <w:t xml:space="preserve">While there are certainly nuances to this tension, it highlights </w:t>
      </w:r>
      <w:r w:rsidR="007A5316" w:rsidRPr="0010176D">
        <w:rPr>
          <w:rFonts w:ascii="Times New Roman" w:hAnsi="Times New Roman" w:cs="Times New Roman"/>
          <w:bCs/>
        </w:rPr>
        <w:t>a</w:t>
      </w:r>
      <w:r w:rsidR="00466B1C" w:rsidRPr="0010176D">
        <w:rPr>
          <w:rFonts w:ascii="Times New Roman" w:hAnsi="Times New Roman" w:cs="Times New Roman"/>
          <w:bCs/>
        </w:rPr>
        <w:t xml:space="preserve"> </w:t>
      </w:r>
      <w:r w:rsidR="00B8118E" w:rsidRPr="0010176D">
        <w:rPr>
          <w:rFonts w:ascii="Times New Roman" w:hAnsi="Times New Roman" w:cs="Times New Roman"/>
          <w:bCs/>
        </w:rPr>
        <w:t>key perspective at play</w:t>
      </w:r>
      <w:r w:rsidR="007A5316" w:rsidRPr="0010176D">
        <w:rPr>
          <w:rFonts w:ascii="Times New Roman" w:hAnsi="Times New Roman" w:cs="Times New Roman"/>
          <w:bCs/>
        </w:rPr>
        <w:t xml:space="preserve"> – a commercial company’s </w:t>
      </w:r>
      <w:r w:rsidR="00E5533A" w:rsidRPr="0010176D">
        <w:rPr>
          <w:rFonts w:ascii="Times New Roman" w:hAnsi="Times New Roman" w:cs="Times New Roman"/>
          <w:bCs/>
        </w:rPr>
        <w:t xml:space="preserve">sense of </w:t>
      </w:r>
      <w:r w:rsidR="00B8118E" w:rsidRPr="0010176D">
        <w:rPr>
          <w:rFonts w:ascii="Times New Roman" w:hAnsi="Times New Roman" w:cs="Times New Roman"/>
          <w:bCs/>
        </w:rPr>
        <w:t xml:space="preserve">urgency </w:t>
      </w:r>
      <w:r w:rsidR="007A5316" w:rsidRPr="0010176D">
        <w:rPr>
          <w:rFonts w:ascii="Times New Roman" w:hAnsi="Times New Roman" w:cs="Times New Roman"/>
          <w:bCs/>
        </w:rPr>
        <w:t xml:space="preserve">is directly </w:t>
      </w:r>
      <w:r w:rsidR="00432405" w:rsidRPr="0010176D">
        <w:rPr>
          <w:rFonts w:ascii="Times New Roman" w:hAnsi="Times New Roman" w:cs="Times New Roman"/>
          <w:bCs/>
        </w:rPr>
        <w:t>linked to the success and survival of a company</w:t>
      </w:r>
      <w:r w:rsidR="007A5316" w:rsidRPr="0010176D">
        <w:rPr>
          <w:rFonts w:ascii="Times New Roman" w:hAnsi="Times New Roman" w:cs="Times New Roman"/>
          <w:bCs/>
        </w:rPr>
        <w:t xml:space="preserve">. </w:t>
      </w:r>
      <w:r w:rsidR="00442CCF" w:rsidRPr="0010176D">
        <w:rPr>
          <w:rFonts w:ascii="Times New Roman" w:hAnsi="Times New Roman" w:cs="Times New Roman"/>
          <w:bCs/>
        </w:rPr>
        <w:t>In the context of the space launch industry, t</w:t>
      </w:r>
      <w:r w:rsidR="00073CC8" w:rsidRPr="0010176D">
        <w:rPr>
          <w:rFonts w:ascii="Times New Roman" w:hAnsi="Times New Roman" w:cs="Times New Roman"/>
          <w:bCs/>
        </w:rPr>
        <w:t xml:space="preserve">his heightened sense of urgency </w:t>
      </w:r>
      <w:r w:rsidR="00442CCF" w:rsidRPr="0010176D">
        <w:rPr>
          <w:rFonts w:ascii="Times New Roman" w:hAnsi="Times New Roman" w:cs="Times New Roman"/>
          <w:bCs/>
        </w:rPr>
        <w:t xml:space="preserve">drove and continues to drive industry to make decisions on more rapid timelines than historically </w:t>
      </w:r>
      <w:r w:rsidR="00BD4800" w:rsidRPr="0010176D">
        <w:rPr>
          <w:rFonts w:ascii="Times New Roman" w:hAnsi="Times New Roman" w:cs="Times New Roman"/>
          <w:bCs/>
        </w:rPr>
        <w:t xml:space="preserve">present. </w:t>
      </w:r>
      <w:r w:rsidR="00AC51BC" w:rsidRPr="0010176D">
        <w:rPr>
          <w:rFonts w:ascii="Times New Roman" w:hAnsi="Times New Roman" w:cs="Times New Roman"/>
          <w:bCs/>
        </w:rPr>
        <w:t xml:space="preserve">The U.S. Space Force should recognize this key difference, and </w:t>
      </w:r>
      <w:r w:rsidR="00363F8E" w:rsidRPr="0010176D">
        <w:rPr>
          <w:rFonts w:ascii="Times New Roman" w:hAnsi="Times New Roman" w:cs="Times New Roman"/>
          <w:bCs/>
        </w:rPr>
        <w:t xml:space="preserve">work to ensure government and industry incentives are best optimized and aligned to </w:t>
      </w:r>
      <w:r w:rsidR="00957081" w:rsidRPr="0010176D">
        <w:rPr>
          <w:rFonts w:ascii="Times New Roman" w:hAnsi="Times New Roman" w:cs="Times New Roman"/>
          <w:bCs/>
        </w:rPr>
        <w:t xml:space="preserve">continue to drive a cultural shift </w:t>
      </w:r>
      <w:r w:rsidR="00BD4800" w:rsidRPr="0010176D">
        <w:rPr>
          <w:rFonts w:ascii="Times New Roman" w:hAnsi="Times New Roman" w:cs="Times New Roman"/>
          <w:bCs/>
        </w:rPr>
        <w:t xml:space="preserve">toward urgency while maintaining </w:t>
      </w:r>
      <w:r w:rsidR="00B76520" w:rsidRPr="0010176D">
        <w:rPr>
          <w:rFonts w:ascii="Times New Roman" w:hAnsi="Times New Roman" w:cs="Times New Roman"/>
          <w:bCs/>
        </w:rPr>
        <w:t>a</w:t>
      </w:r>
      <w:r w:rsidR="00E352D7" w:rsidRPr="0010176D">
        <w:rPr>
          <w:rFonts w:ascii="Times New Roman" w:hAnsi="Times New Roman" w:cs="Times New Roman"/>
          <w:bCs/>
        </w:rPr>
        <w:t xml:space="preserve"> steadfast</w:t>
      </w:r>
      <w:r w:rsidR="00B76520" w:rsidRPr="0010176D">
        <w:rPr>
          <w:rFonts w:ascii="Times New Roman" w:hAnsi="Times New Roman" w:cs="Times New Roman"/>
          <w:bCs/>
        </w:rPr>
        <w:t xml:space="preserve"> focus on safety. </w:t>
      </w:r>
    </w:p>
    <w:p w14:paraId="40CE3D94" w14:textId="36C12635" w:rsidR="00E352D7" w:rsidRPr="0010176D" w:rsidRDefault="00E352D7" w:rsidP="00350E78">
      <w:pPr>
        <w:pStyle w:val="ListParagraph"/>
        <w:widowControl w:val="0"/>
        <w:tabs>
          <w:tab w:val="left" w:pos="270"/>
        </w:tabs>
        <w:autoSpaceDE w:val="0"/>
        <w:autoSpaceDN w:val="0"/>
        <w:spacing w:after="0" w:line="480" w:lineRule="auto"/>
        <w:ind w:left="0"/>
        <w:contextualSpacing w:val="0"/>
        <w:rPr>
          <w:rFonts w:ascii="Times New Roman" w:hAnsi="Times New Roman" w:cs="Times New Roman"/>
          <w:bCs/>
        </w:rPr>
      </w:pPr>
    </w:p>
    <w:p w14:paraId="51C549FD" w14:textId="4B101AE8" w:rsidR="00631009" w:rsidRPr="0010176D" w:rsidRDefault="00E352D7" w:rsidP="00350E78">
      <w:pPr>
        <w:widowControl w:val="0"/>
        <w:tabs>
          <w:tab w:val="left" w:pos="270"/>
        </w:tabs>
        <w:autoSpaceDE w:val="0"/>
        <w:autoSpaceDN w:val="0"/>
        <w:spacing w:after="0" w:line="480" w:lineRule="auto"/>
        <w:rPr>
          <w:rFonts w:ascii="Times New Roman" w:hAnsi="Times New Roman" w:cs="Times New Roman"/>
          <w:b/>
          <w:bCs/>
        </w:rPr>
      </w:pPr>
      <w:r w:rsidRPr="0010176D">
        <w:rPr>
          <w:rFonts w:ascii="Times New Roman" w:hAnsi="Times New Roman" w:cs="Times New Roman"/>
          <w:b/>
          <w:bCs/>
        </w:rPr>
        <w:t>Step 2</w:t>
      </w:r>
      <w:r w:rsidR="00631009" w:rsidRPr="0010176D">
        <w:rPr>
          <w:rFonts w:ascii="Times New Roman" w:hAnsi="Times New Roman" w:cs="Times New Roman"/>
          <w:b/>
          <w:bCs/>
        </w:rPr>
        <w:t>. Creating the Guiding Coalition</w:t>
      </w:r>
    </w:p>
    <w:p w14:paraId="3F738C9E" w14:textId="74F78C62" w:rsidR="00831252"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631009" w:rsidRPr="0010176D">
        <w:rPr>
          <w:rFonts w:ascii="Times New Roman" w:hAnsi="Times New Roman" w:cs="Times New Roman"/>
          <w:bCs/>
        </w:rPr>
        <w:t>Successful change requires a shared commitment</w:t>
      </w:r>
      <w:r w:rsidR="00DA20D0" w:rsidRPr="0010176D">
        <w:rPr>
          <w:rFonts w:ascii="Times New Roman" w:hAnsi="Times New Roman" w:cs="Times New Roman"/>
          <w:bCs/>
        </w:rPr>
        <w:t xml:space="preserve"> among </w:t>
      </w:r>
      <w:r w:rsidR="0058623B" w:rsidRPr="0010176D">
        <w:rPr>
          <w:rFonts w:ascii="Times New Roman" w:hAnsi="Times New Roman" w:cs="Times New Roman"/>
          <w:bCs/>
        </w:rPr>
        <w:t xml:space="preserve">key stakeholders in an organization. In responding to </w:t>
      </w:r>
      <w:r w:rsidR="00292E46" w:rsidRPr="0010176D">
        <w:rPr>
          <w:rFonts w:ascii="Times New Roman" w:hAnsi="Times New Roman" w:cs="Times New Roman"/>
          <w:bCs/>
        </w:rPr>
        <w:t xml:space="preserve">the increase in launch demand, the </w:t>
      </w:r>
      <w:r w:rsidR="00631009" w:rsidRPr="0010176D">
        <w:rPr>
          <w:rFonts w:ascii="Times New Roman" w:hAnsi="Times New Roman" w:cs="Times New Roman"/>
          <w:bCs/>
        </w:rPr>
        <w:t>U</w:t>
      </w:r>
      <w:r w:rsidR="0058623B" w:rsidRPr="0010176D">
        <w:rPr>
          <w:rFonts w:ascii="Times New Roman" w:hAnsi="Times New Roman" w:cs="Times New Roman"/>
          <w:bCs/>
        </w:rPr>
        <w:t>.</w:t>
      </w:r>
      <w:r w:rsidR="00631009" w:rsidRPr="0010176D">
        <w:rPr>
          <w:rFonts w:ascii="Times New Roman" w:hAnsi="Times New Roman" w:cs="Times New Roman"/>
          <w:bCs/>
        </w:rPr>
        <w:t>S</w:t>
      </w:r>
      <w:r w:rsidR="00292E46" w:rsidRPr="0010176D">
        <w:rPr>
          <w:rFonts w:ascii="Times New Roman" w:hAnsi="Times New Roman" w:cs="Times New Roman"/>
          <w:bCs/>
        </w:rPr>
        <w:t>. Space Force</w:t>
      </w:r>
      <w:r w:rsidR="00631009" w:rsidRPr="0010176D">
        <w:rPr>
          <w:rFonts w:ascii="Times New Roman" w:hAnsi="Times New Roman" w:cs="Times New Roman"/>
          <w:bCs/>
        </w:rPr>
        <w:t xml:space="preserve"> formed a coalition that included the Department of the Air Force, </w:t>
      </w:r>
      <w:r w:rsidR="00706FF5" w:rsidRPr="0010176D">
        <w:rPr>
          <w:rFonts w:ascii="Times New Roman" w:hAnsi="Times New Roman" w:cs="Times New Roman"/>
          <w:bCs/>
        </w:rPr>
        <w:t xml:space="preserve">NASA’s Kennedy Space Center, </w:t>
      </w:r>
      <w:r w:rsidR="00631009" w:rsidRPr="0010176D">
        <w:rPr>
          <w:rFonts w:ascii="Times New Roman" w:hAnsi="Times New Roman" w:cs="Times New Roman"/>
          <w:bCs/>
        </w:rPr>
        <w:t xml:space="preserve">the FAA’s Office of Commercial Space Transportation, and private industry. By working "outside the </w:t>
      </w:r>
      <w:r w:rsidR="00631009" w:rsidRPr="0010176D">
        <w:rPr>
          <w:rFonts w:ascii="Times New Roman" w:hAnsi="Times New Roman" w:cs="Times New Roman"/>
          <w:bCs/>
        </w:rPr>
        <w:lastRenderedPageBreak/>
        <w:t xml:space="preserve">normal hierarchy," as Kotter suggests, this coalition was able to </w:t>
      </w:r>
      <w:r w:rsidR="001558C2" w:rsidRPr="0010176D">
        <w:rPr>
          <w:rFonts w:ascii="Times New Roman" w:hAnsi="Times New Roman" w:cs="Times New Roman"/>
          <w:bCs/>
        </w:rPr>
        <w:t>overcome</w:t>
      </w:r>
      <w:r w:rsidR="00631009" w:rsidRPr="0010176D">
        <w:rPr>
          <w:rFonts w:ascii="Times New Roman" w:hAnsi="Times New Roman" w:cs="Times New Roman"/>
          <w:bCs/>
        </w:rPr>
        <w:t xml:space="preserve"> traditional bureaucratic inertia.</w:t>
      </w:r>
      <w:r w:rsidR="001558C2" w:rsidRPr="0010176D">
        <w:rPr>
          <w:rStyle w:val="FootnoteReference"/>
          <w:rFonts w:ascii="Times New Roman" w:hAnsi="Times New Roman" w:cs="Times New Roman"/>
          <w:bCs/>
        </w:rPr>
        <w:footnoteReference w:id="34"/>
      </w:r>
      <w:r w:rsidR="00631009" w:rsidRPr="0010176D">
        <w:rPr>
          <w:rFonts w:ascii="Times New Roman" w:hAnsi="Times New Roman" w:cs="Times New Roman"/>
          <w:bCs/>
        </w:rPr>
        <w:t xml:space="preserve"> This group focused on a common goal: transforming federal ranges into "multi-user spaceports" that could support a high cadence of both government and commercial missions</w:t>
      </w:r>
      <w:r w:rsidR="00831252" w:rsidRPr="0010176D">
        <w:rPr>
          <w:rFonts w:ascii="Times New Roman" w:hAnsi="Times New Roman" w:cs="Times New Roman"/>
          <w:bCs/>
        </w:rPr>
        <w:t xml:space="preserve">. </w:t>
      </w:r>
    </w:p>
    <w:p w14:paraId="3ECFF9FB" w14:textId="6C25C6BE" w:rsidR="00E67009"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D963CB" w:rsidRPr="0010176D">
        <w:rPr>
          <w:rFonts w:ascii="Times New Roman" w:hAnsi="Times New Roman" w:cs="Times New Roman"/>
          <w:bCs/>
        </w:rPr>
        <w:t>In the context of creating and building a guiding coalition, multiple U.S. Sp</w:t>
      </w:r>
      <w:r w:rsidR="0001055C" w:rsidRPr="0010176D">
        <w:rPr>
          <w:rFonts w:ascii="Times New Roman" w:hAnsi="Times New Roman" w:cs="Times New Roman"/>
          <w:bCs/>
        </w:rPr>
        <w:t>a</w:t>
      </w:r>
      <w:r w:rsidR="00D963CB" w:rsidRPr="0010176D">
        <w:rPr>
          <w:rFonts w:ascii="Times New Roman" w:hAnsi="Times New Roman" w:cs="Times New Roman"/>
          <w:bCs/>
        </w:rPr>
        <w:t xml:space="preserve">ce Force leaders emphasized that professional partnerships and trust-based relationships were the essential in </w:t>
      </w:r>
      <w:r w:rsidR="004A7F49" w:rsidRPr="0010176D">
        <w:rPr>
          <w:rFonts w:ascii="Times New Roman" w:hAnsi="Times New Roman" w:cs="Times New Roman"/>
          <w:bCs/>
        </w:rPr>
        <w:t xml:space="preserve">how the </w:t>
      </w:r>
      <w:r w:rsidR="00D963CB" w:rsidRPr="0010176D">
        <w:rPr>
          <w:rFonts w:ascii="Times New Roman" w:hAnsi="Times New Roman" w:cs="Times New Roman"/>
          <w:bCs/>
        </w:rPr>
        <w:t xml:space="preserve">launch community </w:t>
      </w:r>
      <w:r w:rsidR="004A7F49" w:rsidRPr="0010176D">
        <w:rPr>
          <w:rFonts w:ascii="Times New Roman" w:hAnsi="Times New Roman" w:cs="Times New Roman"/>
          <w:bCs/>
        </w:rPr>
        <w:t>overcame challenges throughout the</w:t>
      </w:r>
      <w:r w:rsidR="00D963CB" w:rsidRPr="0010176D">
        <w:rPr>
          <w:rFonts w:ascii="Times New Roman" w:hAnsi="Times New Roman" w:cs="Times New Roman"/>
          <w:bCs/>
        </w:rPr>
        <w:t xml:space="preserve"> increase in </w:t>
      </w:r>
      <w:r w:rsidR="004A7F49" w:rsidRPr="0010176D">
        <w:rPr>
          <w:rFonts w:ascii="Times New Roman" w:hAnsi="Times New Roman" w:cs="Times New Roman"/>
          <w:bCs/>
        </w:rPr>
        <w:t xml:space="preserve">launch </w:t>
      </w:r>
      <w:r w:rsidR="00D963CB" w:rsidRPr="0010176D">
        <w:rPr>
          <w:rFonts w:ascii="Times New Roman" w:hAnsi="Times New Roman" w:cs="Times New Roman"/>
          <w:bCs/>
        </w:rPr>
        <w:t>cadence.</w:t>
      </w:r>
      <w:r w:rsidR="004A7F49" w:rsidRPr="0010176D">
        <w:rPr>
          <w:rFonts w:ascii="Times New Roman" w:hAnsi="Times New Roman" w:cs="Times New Roman"/>
          <w:bCs/>
        </w:rPr>
        <w:t xml:space="preserve"> </w:t>
      </w:r>
      <w:r w:rsidR="0060456E" w:rsidRPr="0010176D">
        <w:rPr>
          <w:rFonts w:ascii="Times New Roman" w:hAnsi="Times New Roman" w:cs="Times New Roman"/>
          <w:bCs/>
        </w:rPr>
        <w:t xml:space="preserve">One leader </w:t>
      </w:r>
      <w:r w:rsidR="00E67009" w:rsidRPr="0010176D">
        <w:rPr>
          <w:rFonts w:ascii="Times New Roman" w:hAnsi="Times New Roman" w:cs="Times New Roman"/>
          <w:bCs/>
        </w:rPr>
        <w:t>stated that he "cannot overstate the importance of professional relationships" in navigating organizational change</w:t>
      </w:r>
      <w:r w:rsidR="0060456E" w:rsidRPr="0010176D">
        <w:rPr>
          <w:rFonts w:ascii="Times New Roman" w:hAnsi="Times New Roman" w:cs="Times New Roman"/>
          <w:bCs/>
        </w:rPr>
        <w:t xml:space="preserve">, noting that </w:t>
      </w:r>
      <w:r w:rsidR="00E67009" w:rsidRPr="0010176D">
        <w:rPr>
          <w:rFonts w:ascii="Times New Roman" w:hAnsi="Times New Roman" w:cs="Times New Roman"/>
          <w:bCs/>
        </w:rPr>
        <w:t>a "powerful guiding coalition" in the space launch world was not just a</w:t>
      </w:r>
      <w:r w:rsidR="0060456E" w:rsidRPr="0010176D">
        <w:rPr>
          <w:rFonts w:ascii="Times New Roman" w:hAnsi="Times New Roman" w:cs="Times New Roman"/>
          <w:bCs/>
        </w:rPr>
        <w:t>n</w:t>
      </w:r>
      <w:r w:rsidR="00E67009" w:rsidRPr="0010176D">
        <w:rPr>
          <w:rFonts w:ascii="Times New Roman" w:hAnsi="Times New Roman" w:cs="Times New Roman"/>
          <w:bCs/>
        </w:rPr>
        <w:t xml:space="preserve"> internal military team, but a </w:t>
      </w:r>
      <w:r w:rsidR="00E67009" w:rsidRPr="0010176D">
        <w:rPr>
          <w:rFonts w:ascii="Times New Roman" w:hAnsi="Times New Roman" w:cs="Times New Roman"/>
        </w:rPr>
        <w:t>"tight fraternity" of lea</w:t>
      </w:r>
      <w:r w:rsidR="00E67009" w:rsidRPr="0010176D">
        <w:rPr>
          <w:rFonts w:ascii="Times New Roman" w:hAnsi="Times New Roman" w:cs="Times New Roman"/>
          <w:bCs/>
        </w:rPr>
        <w:t>ders across the Air Force, Space Force, and industry who had worked together for decades.</w:t>
      </w:r>
      <w:r w:rsidR="006707AE" w:rsidRPr="0010176D">
        <w:rPr>
          <w:rStyle w:val="FootnoteReference"/>
          <w:rFonts w:ascii="Times New Roman" w:hAnsi="Times New Roman" w:cs="Times New Roman"/>
          <w:bCs/>
        </w:rPr>
        <w:footnoteReference w:id="35"/>
      </w:r>
      <w:r w:rsidR="00E67009" w:rsidRPr="0010176D">
        <w:rPr>
          <w:rFonts w:ascii="Times New Roman" w:hAnsi="Times New Roman" w:cs="Times New Roman"/>
          <w:bCs/>
        </w:rPr>
        <w:t xml:space="preserve"> This coalition provided a stable foundation of expertise that allowed the group to align goals across the acquisition and range</w:t>
      </w:r>
      <w:r w:rsidR="0060456E" w:rsidRPr="0010176D">
        <w:rPr>
          <w:rFonts w:ascii="Times New Roman" w:hAnsi="Times New Roman" w:cs="Times New Roman"/>
          <w:bCs/>
        </w:rPr>
        <w:t xml:space="preserve"> communities. </w:t>
      </w:r>
    </w:p>
    <w:p w14:paraId="1043A724" w14:textId="0E49B378" w:rsidR="001748D7"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6B0B72" w:rsidRPr="0010176D">
        <w:rPr>
          <w:rFonts w:ascii="Times New Roman" w:hAnsi="Times New Roman" w:cs="Times New Roman"/>
          <w:bCs/>
        </w:rPr>
        <w:t>A secondary</w:t>
      </w:r>
      <w:r w:rsidR="00891D17" w:rsidRPr="0010176D">
        <w:rPr>
          <w:rFonts w:ascii="Times New Roman" w:hAnsi="Times New Roman" w:cs="Times New Roman"/>
          <w:bCs/>
        </w:rPr>
        <w:t xml:space="preserve"> </w:t>
      </w:r>
      <w:r w:rsidR="006B0B72" w:rsidRPr="0010176D">
        <w:rPr>
          <w:rFonts w:ascii="Times New Roman" w:hAnsi="Times New Roman" w:cs="Times New Roman"/>
          <w:bCs/>
        </w:rPr>
        <w:t>consequence</w:t>
      </w:r>
      <w:r w:rsidR="001F50DC" w:rsidRPr="0010176D">
        <w:rPr>
          <w:rFonts w:ascii="Times New Roman" w:hAnsi="Times New Roman" w:cs="Times New Roman"/>
          <w:bCs/>
        </w:rPr>
        <w:t xml:space="preserve"> </w:t>
      </w:r>
      <w:r w:rsidR="00891D17" w:rsidRPr="0010176D">
        <w:rPr>
          <w:rFonts w:ascii="Times New Roman" w:hAnsi="Times New Roman" w:cs="Times New Roman"/>
          <w:bCs/>
        </w:rPr>
        <w:t>o</w:t>
      </w:r>
      <w:r w:rsidR="001F50DC" w:rsidRPr="0010176D">
        <w:rPr>
          <w:rFonts w:ascii="Times New Roman" w:hAnsi="Times New Roman" w:cs="Times New Roman"/>
          <w:bCs/>
        </w:rPr>
        <w:t>f the u</w:t>
      </w:r>
      <w:r w:rsidR="00891D17" w:rsidRPr="0010176D">
        <w:rPr>
          <w:rFonts w:ascii="Times New Roman" w:hAnsi="Times New Roman" w:cs="Times New Roman"/>
          <w:bCs/>
        </w:rPr>
        <w:t xml:space="preserve">rgency created by the launch surge </w:t>
      </w:r>
      <w:r w:rsidR="001F50DC" w:rsidRPr="0010176D">
        <w:rPr>
          <w:rFonts w:ascii="Times New Roman" w:hAnsi="Times New Roman" w:cs="Times New Roman"/>
          <w:bCs/>
        </w:rPr>
        <w:t xml:space="preserve">is that it </w:t>
      </w:r>
      <w:r w:rsidR="00891D17" w:rsidRPr="0010176D">
        <w:rPr>
          <w:rFonts w:ascii="Times New Roman" w:hAnsi="Times New Roman" w:cs="Times New Roman"/>
          <w:bCs/>
        </w:rPr>
        <w:t xml:space="preserve">helped </w:t>
      </w:r>
      <w:r w:rsidR="006B0B72" w:rsidRPr="0010176D">
        <w:rPr>
          <w:rFonts w:ascii="Times New Roman" w:hAnsi="Times New Roman" w:cs="Times New Roman"/>
          <w:bCs/>
        </w:rPr>
        <w:t xml:space="preserve">contribute to the </w:t>
      </w:r>
      <w:r w:rsidR="00891D17" w:rsidRPr="0010176D">
        <w:rPr>
          <w:rFonts w:ascii="Times New Roman" w:hAnsi="Times New Roman" w:cs="Times New Roman"/>
          <w:bCs/>
        </w:rPr>
        <w:t>consolidat</w:t>
      </w:r>
      <w:r w:rsidR="006B0B72" w:rsidRPr="0010176D">
        <w:rPr>
          <w:rFonts w:ascii="Times New Roman" w:hAnsi="Times New Roman" w:cs="Times New Roman"/>
          <w:bCs/>
        </w:rPr>
        <w:t>ion of</w:t>
      </w:r>
      <w:r w:rsidR="00891D17" w:rsidRPr="0010176D">
        <w:rPr>
          <w:rFonts w:ascii="Times New Roman" w:hAnsi="Times New Roman" w:cs="Times New Roman"/>
          <w:bCs/>
        </w:rPr>
        <w:t xml:space="preserve"> fragmented units</w:t>
      </w:r>
      <w:r w:rsidR="00A61D66" w:rsidRPr="0010176D">
        <w:rPr>
          <w:rFonts w:ascii="Times New Roman" w:hAnsi="Times New Roman" w:cs="Times New Roman"/>
          <w:bCs/>
        </w:rPr>
        <w:t xml:space="preserve"> across the Air Force and Space Force</w:t>
      </w:r>
      <w:r w:rsidR="00891D17" w:rsidRPr="0010176D">
        <w:rPr>
          <w:rFonts w:ascii="Times New Roman" w:hAnsi="Times New Roman" w:cs="Times New Roman"/>
          <w:bCs/>
        </w:rPr>
        <w:t xml:space="preserve"> into a </w:t>
      </w:r>
      <w:r w:rsidR="001F50DC" w:rsidRPr="0010176D">
        <w:rPr>
          <w:rFonts w:ascii="Times New Roman" w:hAnsi="Times New Roman" w:cs="Times New Roman"/>
          <w:bCs/>
        </w:rPr>
        <w:t xml:space="preserve">more </w:t>
      </w:r>
      <w:r w:rsidR="00EB5B35" w:rsidRPr="0010176D">
        <w:rPr>
          <w:rFonts w:ascii="Times New Roman" w:hAnsi="Times New Roman" w:cs="Times New Roman"/>
          <w:bCs/>
        </w:rPr>
        <w:t>cohesive</w:t>
      </w:r>
      <w:r w:rsidR="00891D17" w:rsidRPr="0010176D">
        <w:rPr>
          <w:rFonts w:ascii="Times New Roman" w:hAnsi="Times New Roman" w:cs="Times New Roman"/>
          <w:bCs/>
        </w:rPr>
        <w:t xml:space="preserve"> organization with a unified voice.</w:t>
      </w:r>
      <w:r w:rsidR="003233AD" w:rsidRPr="0010176D">
        <w:rPr>
          <w:rFonts w:ascii="Times New Roman" w:hAnsi="Times New Roman" w:cs="Times New Roman"/>
          <w:bCs/>
        </w:rPr>
        <w:t xml:space="preserve"> </w:t>
      </w:r>
      <w:r w:rsidR="00BE6776" w:rsidRPr="0010176D">
        <w:rPr>
          <w:rFonts w:ascii="Times New Roman" w:hAnsi="Times New Roman" w:cs="Times New Roman"/>
          <w:bCs/>
        </w:rPr>
        <w:t xml:space="preserve">The U.S. military’s space launch community has enduring various reorganizations, and </w:t>
      </w:r>
      <w:r w:rsidR="00076C26" w:rsidRPr="0010176D">
        <w:rPr>
          <w:rFonts w:ascii="Times New Roman" w:hAnsi="Times New Roman" w:cs="Times New Roman"/>
          <w:bCs/>
        </w:rPr>
        <w:t>during the launch surge the launch acquisition</w:t>
      </w:r>
      <w:r w:rsidR="00CE348E" w:rsidRPr="0010176D">
        <w:rPr>
          <w:rFonts w:ascii="Times New Roman" w:hAnsi="Times New Roman" w:cs="Times New Roman"/>
          <w:bCs/>
        </w:rPr>
        <w:t xml:space="preserve"> community </w:t>
      </w:r>
      <w:r w:rsidR="00076C26" w:rsidRPr="0010176D">
        <w:rPr>
          <w:rFonts w:ascii="Times New Roman" w:hAnsi="Times New Roman" w:cs="Times New Roman"/>
          <w:bCs/>
        </w:rPr>
        <w:t>(S</w:t>
      </w:r>
      <w:r w:rsidR="003233AD" w:rsidRPr="0010176D">
        <w:rPr>
          <w:rFonts w:ascii="Times New Roman" w:hAnsi="Times New Roman" w:cs="Times New Roman"/>
          <w:bCs/>
        </w:rPr>
        <w:t>pace and Missiles Systems Command</w:t>
      </w:r>
      <w:r w:rsidR="00B21E30" w:rsidRPr="0010176D">
        <w:rPr>
          <w:rStyle w:val="FootnoteReference"/>
          <w:rFonts w:ascii="Times New Roman" w:hAnsi="Times New Roman" w:cs="Times New Roman"/>
          <w:bCs/>
        </w:rPr>
        <w:footnoteReference w:id="36"/>
      </w:r>
      <w:r w:rsidR="003233AD" w:rsidRPr="0010176D">
        <w:rPr>
          <w:rFonts w:ascii="Times New Roman" w:hAnsi="Times New Roman" w:cs="Times New Roman"/>
          <w:bCs/>
        </w:rPr>
        <w:t xml:space="preserve"> and its various launch divisions</w:t>
      </w:r>
      <w:r w:rsidR="00CE348E" w:rsidRPr="0010176D">
        <w:rPr>
          <w:rFonts w:ascii="Times New Roman" w:hAnsi="Times New Roman" w:cs="Times New Roman"/>
          <w:bCs/>
        </w:rPr>
        <w:t>) a</w:t>
      </w:r>
      <w:r w:rsidR="003233AD" w:rsidRPr="0010176D">
        <w:rPr>
          <w:rFonts w:ascii="Times New Roman" w:hAnsi="Times New Roman" w:cs="Times New Roman"/>
          <w:bCs/>
        </w:rPr>
        <w:t>nd</w:t>
      </w:r>
      <w:r w:rsidR="00CE348E" w:rsidRPr="0010176D">
        <w:rPr>
          <w:rFonts w:ascii="Times New Roman" w:hAnsi="Times New Roman" w:cs="Times New Roman"/>
          <w:bCs/>
        </w:rPr>
        <w:t xml:space="preserve"> the launch operations community (</w:t>
      </w:r>
      <w:r w:rsidR="003233AD" w:rsidRPr="0010176D">
        <w:rPr>
          <w:rFonts w:ascii="Times New Roman" w:hAnsi="Times New Roman" w:cs="Times New Roman"/>
          <w:bCs/>
        </w:rPr>
        <w:t>Air Force Space Command and its Space Wings</w:t>
      </w:r>
      <w:r w:rsidR="00A61D66" w:rsidRPr="0010176D">
        <w:rPr>
          <w:rStyle w:val="FootnoteReference"/>
          <w:rFonts w:ascii="Times New Roman" w:hAnsi="Times New Roman" w:cs="Times New Roman"/>
          <w:bCs/>
        </w:rPr>
        <w:footnoteReference w:id="37"/>
      </w:r>
      <w:r w:rsidR="003233AD" w:rsidRPr="0010176D">
        <w:rPr>
          <w:rFonts w:ascii="Times New Roman" w:hAnsi="Times New Roman" w:cs="Times New Roman"/>
          <w:bCs/>
        </w:rPr>
        <w:t>)</w:t>
      </w:r>
      <w:r w:rsidR="00047AAD" w:rsidRPr="0010176D">
        <w:rPr>
          <w:rFonts w:ascii="Times New Roman" w:hAnsi="Times New Roman" w:cs="Times New Roman"/>
          <w:bCs/>
        </w:rPr>
        <w:t xml:space="preserve"> </w:t>
      </w:r>
      <w:r w:rsidR="00610061" w:rsidRPr="0010176D">
        <w:rPr>
          <w:rFonts w:ascii="Times New Roman" w:hAnsi="Times New Roman" w:cs="Times New Roman"/>
          <w:bCs/>
        </w:rPr>
        <w:t>came together under the umbrella of Assured Access to Space (AATS). This brought a one</w:t>
      </w:r>
      <w:r w:rsidR="001B3AB3" w:rsidRPr="0010176D">
        <w:rPr>
          <w:rFonts w:ascii="Times New Roman" w:hAnsi="Times New Roman" w:cs="Times New Roman"/>
          <w:bCs/>
        </w:rPr>
        <w:t>-</w:t>
      </w:r>
      <w:r w:rsidR="00610061" w:rsidRPr="0010176D">
        <w:rPr>
          <w:rFonts w:ascii="Times New Roman" w:hAnsi="Times New Roman" w:cs="Times New Roman"/>
          <w:bCs/>
        </w:rPr>
        <w:t>leade</w:t>
      </w:r>
      <w:r w:rsidR="001B3AB3" w:rsidRPr="0010176D">
        <w:rPr>
          <w:rFonts w:ascii="Times New Roman" w:hAnsi="Times New Roman" w:cs="Times New Roman"/>
          <w:bCs/>
        </w:rPr>
        <w:t xml:space="preserve">r, </w:t>
      </w:r>
      <w:r w:rsidR="00610061" w:rsidRPr="0010176D">
        <w:rPr>
          <w:rFonts w:ascii="Times New Roman" w:hAnsi="Times New Roman" w:cs="Times New Roman"/>
          <w:bCs/>
        </w:rPr>
        <w:t>one</w:t>
      </w:r>
      <w:r w:rsidR="001B3AB3" w:rsidRPr="0010176D">
        <w:rPr>
          <w:rFonts w:ascii="Times New Roman" w:hAnsi="Times New Roman" w:cs="Times New Roman"/>
          <w:bCs/>
        </w:rPr>
        <w:t>-</w:t>
      </w:r>
      <w:r w:rsidR="00610061" w:rsidRPr="0010176D">
        <w:rPr>
          <w:rFonts w:ascii="Times New Roman" w:hAnsi="Times New Roman" w:cs="Times New Roman"/>
          <w:bCs/>
        </w:rPr>
        <w:t xml:space="preserve">voice approach that </w:t>
      </w:r>
      <w:r w:rsidR="001B3AB3" w:rsidRPr="0010176D">
        <w:rPr>
          <w:rFonts w:ascii="Times New Roman" w:hAnsi="Times New Roman" w:cs="Times New Roman"/>
          <w:bCs/>
        </w:rPr>
        <w:t>functionally aligned requirements,</w:t>
      </w:r>
      <w:r w:rsidR="000268AE" w:rsidRPr="0010176D">
        <w:rPr>
          <w:rFonts w:ascii="Times New Roman" w:hAnsi="Times New Roman" w:cs="Times New Roman"/>
          <w:bCs/>
        </w:rPr>
        <w:t xml:space="preserve"> acquisitions, operations, and sustainment of </w:t>
      </w:r>
      <w:r w:rsidR="000268AE" w:rsidRPr="0010176D">
        <w:rPr>
          <w:rFonts w:ascii="Times New Roman" w:hAnsi="Times New Roman" w:cs="Times New Roman"/>
          <w:bCs/>
        </w:rPr>
        <w:lastRenderedPageBreak/>
        <w:t xml:space="preserve">U.S. Space Force launch activity under one organization overseeing all launch activities. </w:t>
      </w:r>
      <w:r w:rsidR="00EF0B52" w:rsidRPr="0010176D">
        <w:rPr>
          <w:rFonts w:ascii="Times New Roman" w:hAnsi="Times New Roman" w:cs="Times New Roman"/>
          <w:bCs/>
        </w:rPr>
        <w:t>The effect of this decision to bring all organizations under the single umbrella of AATS was seen as a crucial turning point that replaced internal fragmentation with a unified strategic direction.</w:t>
      </w:r>
      <w:r w:rsidR="00EF0B52" w:rsidRPr="0010176D">
        <w:rPr>
          <w:rStyle w:val="FootnoteReference"/>
          <w:rFonts w:ascii="Times New Roman" w:hAnsi="Times New Roman" w:cs="Times New Roman"/>
          <w:bCs/>
        </w:rPr>
        <w:footnoteReference w:id="38"/>
      </w:r>
    </w:p>
    <w:p w14:paraId="71772734" w14:textId="77777777" w:rsidR="001748D7" w:rsidRPr="0010176D" w:rsidRDefault="001748D7" w:rsidP="00350E78">
      <w:pPr>
        <w:widowControl w:val="0"/>
        <w:tabs>
          <w:tab w:val="left" w:pos="270"/>
        </w:tabs>
        <w:autoSpaceDE w:val="0"/>
        <w:autoSpaceDN w:val="0"/>
        <w:spacing w:after="0" w:line="480" w:lineRule="auto"/>
        <w:rPr>
          <w:rFonts w:ascii="Times New Roman" w:hAnsi="Times New Roman" w:cs="Times New Roman"/>
          <w:bCs/>
        </w:rPr>
      </w:pPr>
    </w:p>
    <w:p w14:paraId="5712C286" w14:textId="1251FB87" w:rsidR="00631009" w:rsidRPr="0010176D" w:rsidRDefault="00AB2172" w:rsidP="00350E78">
      <w:pPr>
        <w:widowControl w:val="0"/>
        <w:tabs>
          <w:tab w:val="left" w:pos="270"/>
        </w:tabs>
        <w:autoSpaceDE w:val="0"/>
        <w:autoSpaceDN w:val="0"/>
        <w:spacing w:after="0" w:line="480" w:lineRule="auto"/>
        <w:rPr>
          <w:rFonts w:ascii="Times New Roman" w:hAnsi="Times New Roman" w:cs="Times New Roman"/>
          <w:bCs/>
        </w:rPr>
      </w:pPr>
      <w:r w:rsidRPr="0010176D">
        <w:rPr>
          <w:rFonts w:ascii="Times New Roman" w:hAnsi="Times New Roman" w:cs="Times New Roman"/>
          <w:b/>
          <w:bCs/>
        </w:rPr>
        <w:t xml:space="preserve">Step </w:t>
      </w:r>
      <w:r w:rsidR="00631009" w:rsidRPr="0010176D">
        <w:rPr>
          <w:rFonts w:ascii="Times New Roman" w:hAnsi="Times New Roman" w:cs="Times New Roman"/>
          <w:b/>
          <w:bCs/>
        </w:rPr>
        <w:t>3. Developing a Vision and Strategy</w:t>
      </w:r>
    </w:p>
    <w:p w14:paraId="37529E80" w14:textId="4A56E2EE" w:rsidR="00B16086"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346C85" w:rsidRPr="0010176D">
        <w:rPr>
          <w:rFonts w:ascii="Times New Roman" w:hAnsi="Times New Roman" w:cs="Times New Roman"/>
          <w:bCs/>
        </w:rPr>
        <w:t xml:space="preserve">Developing a successful strategy and vision is identified as a central pillar of transformation in both academic literature and </w:t>
      </w:r>
      <w:r w:rsidR="00935D54" w:rsidRPr="0010176D">
        <w:rPr>
          <w:rFonts w:ascii="Times New Roman" w:hAnsi="Times New Roman" w:cs="Times New Roman"/>
          <w:bCs/>
        </w:rPr>
        <w:t>throughout the</w:t>
      </w:r>
      <w:r w:rsidR="00346C85" w:rsidRPr="0010176D">
        <w:rPr>
          <w:rFonts w:ascii="Times New Roman" w:hAnsi="Times New Roman" w:cs="Times New Roman"/>
          <w:bCs/>
        </w:rPr>
        <w:t xml:space="preserve"> interviews</w:t>
      </w:r>
      <w:r w:rsidR="005D3656" w:rsidRPr="0010176D">
        <w:rPr>
          <w:rFonts w:ascii="Times New Roman" w:hAnsi="Times New Roman" w:cs="Times New Roman"/>
          <w:bCs/>
        </w:rPr>
        <w:t xml:space="preserve"> with </w:t>
      </w:r>
      <w:r w:rsidR="00F76C60">
        <w:rPr>
          <w:rFonts w:ascii="Times New Roman" w:hAnsi="Times New Roman" w:cs="Times New Roman"/>
          <w:bCs/>
        </w:rPr>
        <w:t xml:space="preserve">U.S. </w:t>
      </w:r>
      <w:r w:rsidR="005D3656" w:rsidRPr="0010176D">
        <w:rPr>
          <w:rFonts w:ascii="Times New Roman" w:hAnsi="Times New Roman" w:cs="Times New Roman"/>
          <w:bCs/>
        </w:rPr>
        <w:t>Space Force leadership</w:t>
      </w:r>
      <w:r w:rsidR="00346C85" w:rsidRPr="0010176D">
        <w:rPr>
          <w:rFonts w:ascii="Times New Roman" w:hAnsi="Times New Roman" w:cs="Times New Roman"/>
          <w:bCs/>
        </w:rPr>
        <w:t xml:space="preserve">. </w:t>
      </w:r>
      <w:r w:rsidR="0019242C" w:rsidRPr="0010176D">
        <w:rPr>
          <w:rFonts w:ascii="Times New Roman" w:hAnsi="Times New Roman" w:cs="Times New Roman"/>
          <w:bCs/>
        </w:rPr>
        <w:t>This</w:t>
      </w:r>
      <w:r w:rsidR="00346C85" w:rsidRPr="0010176D">
        <w:rPr>
          <w:rFonts w:ascii="Times New Roman" w:hAnsi="Times New Roman" w:cs="Times New Roman"/>
          <w:bCs/>
        </w:rPr>
        <w:t xml:space="preserve"> involved reframing the organization's purpose, shifting from a restrictive</w:t>
      </w:r>
      <w:r w:rsidR="009D1DF3" w:rsidRPr="0010176D">
        <w:rPr>
          <w:rFonts w:ascii="Times New Roman" w:hAnsi="Times New Roman" w:cs="Times New Roman"/>
          <w:bCs/>
        </w:rPr>
        <w:t>, zero-sum military test range</w:t>
      </w:r>
      <w:r w:rsidR="00346C85" w:rsidRPr="0010176D">
        <w:rPr>
          <w:rFonts w:ascii="Times New Roman" w:hAnsi="Times New Roman" w:cs="Times New Roman"/>
          <w:bCs/>
        </w:rPr>
        <w:t xml:space="preserve"> mindset to </w:t>
      </w:r>
      <w:r w:rsidR="0019242C" w:rsidRPr="0010176D">
        <w:rPr>
          <w:rFonts w:ascii="Times New Roman" w:hAnsi="Times New Roman" w:cs="Times New Roman"/>
          <w:bCs/>
        </w:rPr>
        <w:t xml:space="preserve">one of being a </w:t>
      </w:r>
      <w:r w:rsidR="00346C85" w:rsidRPr="0010176D">
        <w:rPr>
          <w:rFonts w:ascii="Times New Roman" w:hAnsi="Times New Roman" w:cs="Times New Roman"/>
          <w:bCs/>
        </w:rPr>
        <w:t>collaborative commercial enabler</w:t>
      </w:r>
      <w:r w:rsidR="009D1DF3" w:rsidRPr="0010176D">
        <w:rPr>
          <w:rFonts w:ascii="Times New Roman" w:hAnsi="Times New Roman" w:cs="Times New Roman"/>
          <w:bCs/>
        </w:rPr>
        <w:t xml:space="preserve"> </w:t>
      </w:r>
      <w:r w:rsidR="00D544ED" w:rsidRPr="0010176D">
        <w:rPr>
          <w:rFonts w:ascii="Times New Roman" w:hAnsi="Times New Roman" w:cs="Times New Roman"/>
          <w:bCs/>
        </w:rPr>
        <w:t xml:space="preserve">and effective spaceport manager. </w:t>
      </w:r>
      <w:r w:rsidR="00582265" w:rsidRPr="0010176D">
        <w:rPr>
          <w:rFonts w:ascii="Times New Roman" w:hAnsi="Times New Roman" w:cs="Times New Roman"/>
          <w:bCs/>
        </w:rPr>
        <w:t>The strategy was simple</w:t>
      </w:r>
      <w:r w:rsidR="00786456" w:rsidRPr="0010176D">
        <w:rPr>
          <w:rFonts w:ascii="Times New Roman" w:hAnsi="Times New Roman" w:cs="Times New Roman"/>
          <w:bCs/>
        </w:rPr>
        <w:t xml:space="preserve">, clear, and leadership found key metrics to measure and report on progress. </w:t>
      </w:r>
    </w:p>
    <w:p w14:paraId="1358AFA0" w14:textId="41119147" w:rsidR="00BE7CDB"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621BEF" w:rsidRPr="0010176D">
        <w:rPr>
          <w:rFonts w:ascii="Times New Roman" w:hAnsi="Times New Roman" w:cs="Times New Roman"/>
          <w:bCs/>
        </w:rPr>
        <w:t>A key element of the vision and strategy centered on the idea of a spaceport. A</w:t>
      </w:r>
      <w:r w:rsidR="00492D59" w:rsidRPr="0010176D">
        <w:rPr>
          <w:rFonts w:ascii="Times New Roman" w:hAnsi="Times New Roman" w:cs="Times New Roman"/>
          <w:bCs/>
        </w:rPr>
        <w:t xml:space="preserve">cademic sources emphasize that a vision </w:t>
      </w:r>
      <w:r w:rsidR="00621BEF" w:rsidRPr="0010176D">
        <w:rPr>
          <w:rFonts w:ascii="Times New Roman" w:hAnsi="Times New Roman" w:cs="Times New Roman"/>
          <w:bCs/>
        </w:rPr>
        <w:t xml:space="preserve">must be </w:t>
      </w:r>
      <w:r w:rsidR="00492D59" w:rsidRPr="0010176D">
        <w:rPr>
          <w:rFonts w:ascii="Times New Roman" w:hAnsi="Times New Roman" w:cs="Times New Roman"/>
          <w:bCs/>
        </w:rPr>
        <w:t xml:space="preserve">simple and </w:t>
      </w:r>
      <w:r w:rsidR="00621BEF" w:rsidRPr="0010176D">
        <w:rPr>
          <w:rFonts w:ascii="Times New Roman" w:hAnsi="Times New Roman" w:cs="Times New Roman"/>
          <w:bCs/>
        </w:rPr>
        <w:t>clear</w:t>
      </w:r>
      <w:r w:rsidR="00492D59" w:rsidRPr="0010176D">
        <w:rPr>
          <w:rFonts w:ascii="Times New Roman" w:hAnsi="Times New Roman" w:cs="Times New Roman"/>
          <w:bCs/>
        </w:rPr>
        <w:t xml:space="preserve"> to be effective</w:t>
      </w:r>
      <w:r w:rsidR="009A3826" w:rsidRPr="0010176D">
        <w:rPr>
          <w:rFonts w:ascii="Times New Roman" w:hAnsi="Times New Roman" w:cs="Times New Roman"/>
          <w:bCs/>
        </w:rPr>
        <w:t>, and Kotter suggests that a vision should be able to be com</w:t>
      </w:r>
      <w:r w:rsidR="00621BEF" w:rsidRPr="0010176D">
        <w:rPr>
          <w:rFonts w:ascii="Times New Roman" w:hAnsi="Times New Roman" w:cs="Times New Roman"/>
          <w:bCs/>
        </w:rPr>
        <w:t>municated in five minutes or less</w:t>
      </w:r>
      <w:r w:rsidR="00E559CA" w:rsidRPr="0010176D">
        <w:rPr>
          <w:rFonts w:ascii="Times New Roman" w:hAnsi="Times New Roman" w:cs="Times New Roman"/>
          <w:bCs/>
        </w:rPr>
        <w:t>.</w:t>
      </w:r>
      <w:r w:rsidR="00E559CA" w:rsidRPr="0010176D">
        <w:rPr>
          <w:rStyle w:val="FootnoteReference"/>
          <w:rFonts w:ascii="Times New Roman" w:hAnsi="Times New Roman" w:cs="Times New Roman"/>
          <w:bCs/>
        </w:rPr>
        <w:footnoteReference w:id="39"/>
      </w:r>
      <w:r w:rsidR="00BE7CDB" w:rsidRPr="0010176D">
        <w:rPr>
          <w:rFonts w:ascii="Times New Roman" w:hAnsi="Times New Roman" w:cs="Times New Roman"/>
          <w:bCs/>
        </w:rPr>
        <w:t xml:space="preserve"> The spaceport analogy provided this necessary simplicity by </w:t>
      </w:r>
      <w:r w:rsidR="006A7B44" w:rsidRPr="0010176D">
        <w:rPr>
          <w:rFonts w:ascii="Times New Roman" w:hAnsi="Times New Roman" w:cs="Times New Roman"/>
          <w:bCs/>
        </w:rPr>
        <w:t xml:space="preserve">comparing space launch operations to those of an airport. Instead of building and </w:t>
      </w:r>
      <w:r w:rsidR="007D52A7" w:rsidRPr="0010176D">
        <w:rPr>
          <w:rFonts w:ascii="Times New Roman" w:hAnsi="Times New Roman" w:cs="Times New Roman"/>
          <w:bCs/>
        </w:rPr>
        <w:t>operating</w:t>
      </w:r>
      <w:r w:rsidR="006A7B44" w:rsidRPr="0010176D">
        <w:rPr>
          <w:rFonts w:ascii="Times New Roman" w:hAnsi="Times New Roman" w:cs="Times New Roman"/>
          <w:bCs/>
        </w:rPr>
        <w:t xml:space="preserve"> their own rockets, the U.S. Space Force would manage the </w:t>
      </w:r>
      <w:r w:rsidR="007D52A7" w:rsidRPr="0010176D">
        <w:rPr>
          <w:rFonts w:ascii="Times New Roman" w:hAnsi="Times New Roman" w:cs="Times New Roman"/>
          <w:bCs/>
        </w:rPr>
        <w:t xml:space="preserve">common </w:t>
      </w:r>
      <w:r w:rsidR="006A7B44" w:rsidRPr="0010176D">
        <w:rPr>
          <w:rFonts w:ascii="Times New Roman" w:hAnsi="Times New Roman" w:cs="Times New Roman"/>
          <w:bCs/>
        </w:rPr>
        <w:t>infrastructure</w:t>
      </w:r>
      <w:r w:rsidR="007D52A7" w:rsidRPr="0010176D">
        <w:rPr>
          <w:rFonts w:ascii="Times New Roman" w:hAnsi="Times New Roman" w:cs="Times New Roman"/>
          <w:bCs/>
        </w:rPr>
        <w:t xml:space="preserve"> across users</w:t>
      </w:r>
      <w:r w:rsidR="007957E9" w:rsidRPr="0010176D">
        <w:rPr>
          <w:rFonts w:ascii="Times New Roman" w:hAnsi="Times New Roman" w:cs="Times New Roman"/>
          <w:bCs/>
        </w:rPr>
        <w:t>—</w:t>
      </w:r>
      <w:r w:rsidR="006A7B44" w:rsidRPr="0010176D">
        <w:rPr>
          <w:rFonts w:ascii="Times New Roman" w:hAnsi="Times New Roman" w:cs="Times New Roman"/>
          <w:bCs/>
        </w:rPr>
        <w:t xml:space="preserve">the </w:t>
      </w:r>
      <w:r w:rsidR="002A56E6" w:rsidRPr="0010176D">
        <w:rPr>
          <w:rFonts w:ascii="Times New Roman" w:hAnsi="Times New Roman" w:cs="Times New Roman"/>
          <w:bCs/>
        </w:rPr>
        <w:t>roads, electrical lines,</w:t>
      </w:r>
      <w:r w:rsidR="006A7B44" w:rsidRPr="0010176D">
        <w:rPr>
          <w:rFonts w:ascii="Times New Roman" w:hAnsi="Times New Roman" w:cs="Times New Roman"/>
          <w:bCs/>
        </w:rPr>
        <w:t xml:space="preserve"> the telemetry, and the safety protocols</w:t>
      </w:r>
      <w:r w:rsidR="007957E9" w:rsidRPr="0010176D">
        <w:rPr>
          <w:rFonts w:ascii="Times New Roman" w:hAnsi="Times New Roman" w:cs="Times New Roman"/>
          <w:bCs/>
        </w:rPr>
        <w:t>—</w:t>
      </w:r>
      <w:r w:rsidR="006A7B44" w:rsidRPr="0010176D">
        <w:rPr>
          <w:rFonts w:ascii="Times New Roman" w:hAnsi="Times New Roman" w:cs="Times New Roman"/>
          <w:bCs/>
        </w:rPr>
        <w:t>that allows others to fly. This vision</w:t>
      </w:r>
      <w:r w:rsidR="00B50ACC" w:rsidRPr="0010176D">
        <w:rPr>
          <w:rFonts w:ascii="Times New Roman" w:hAnsi="Times New Roman" w:cs="Times New Roman"/>
          <w:bCs/>
        </w:rPr>
        <w:t xml:space="preserve"> was widely </w:t>
      </w:r>
      <w:r w:rsidR="00E016E8" w:rsidRPr="0010176D">
        <w:rPr>
          <w:rFonts w:ascii="Times New Roman" w:hAnsi="Times New Roman" w:cs="Times New Roman"/>
          <w:bCs/>
        </w:rPr>
        <w:t>accepted</w:t>
      </w:r>
      <w:r w:rsidR="009D3681" w:rsidRPr="0010176D">
        <w:rPr>
          <w:rFonts w:ascii="Times New Roman" w:hAnsi="Times New Roman" w:cs="Times New Roman"/>
          <w:bCs/>
        </w:rPr>
        <w:t xml:space="preserve">. Additionally, </w:t>
      </w:r>
      <w:r w:rsidR="006A7B44" w:rsidRPr="0010176D">
        <w:rPr>
          <w:rFonts w:ascii="Times New Roman" w:hAnsi="Times New Roman" w:cs="Times New Roman"/>
          <w:bCs/>
        </w:rPr>
        <w:t>as outlined in the</w:t>
      </w:r>
      <w:r w:rsidR="00812034" w:rsidRPr="0010176D">
        <w:rPr>
          <w:rFonts w:ascii="Times New Roman" w:hAnsi="Times New Roman" w:cs="Times New Roman"/>
          <w:bCs/>
        </w:rPr>
        <w:t xml:space="preserve"> CRS Report, “</w:t>
      </w:r>
      <w:r w:rsidR="00211B25" w:rsidRPr="0010176D">
        <w:rPr>
          <w:rFonts w:ascii="Times New Roman" w:hAnsi="Times New Roman" w:cs="Times New Roman"/>
          <w:bCs/>
        </w:rPr>
        <w:t>Commercial Space Launch and Reentry Regulations: Overview and Select Issues</w:t>
      </w:r>
      <w:r w:rsidR="00C668BA" w:rsidRPr="0010176D">
        <w:rPr>
          <w:rFonts w:ascii="Times New Roman" w:hAnsi="Times New Roman" w:cs="Times New Roman"/>
          <w:bCs/>
        </w:rPr>
        <w:t xml:space="preserve">,” </w:t>
      </w:r>
      <w:r w:rsidR="009D3681" w:rsidRPr="0010176D">
        <w:rPr>
          <w:rFonts w:ascii="Times New Roman" w:hAnsi="Times New Roman" w:cs="Times New Roman"/>
          <w:bCs/>
        </w:rPr>
        <w:t>the vision</w:t>
      </w:r>
      <w:r w:rsidR="00C668BA" w:rsidRPr="0010176D">
        <w:rPr>
          <w:rFonts w:ascii="Times New Roman" w:hAnsi="Times New Roman" w:cs="Times New Roman"/>
          <w:bCs/>
        </w:rPr>
        <w:t xml:space="preserve"> </w:t>
      </w:r>
      <w:r w:rsidR="006A7B44" w:rsidRPr="0010176D">
        <w:rPr>
          <w:rFonts w:ascii="Times New Roman" w:hAnsi="Times New Roman" w:cs="Times New Roman"/>
          <w:bCs/>
        </w:rPr>
        <w:t xml:space="preserve">aligns with the </w:t>
      </w:r>
      <w:r w:rsidR="00206FE6" w:rsidRPr="0010176D">
        <w:rPr>
          <w:rFonts w:ascii="Times New Roman" w:hAnsi="Times New Roman" w:cs="Times New Roman"/>
          <w:bCs/>
        </w:rPr>
        <w:t xml:space="preserve">broader </w:t>
      </w:r>
      <w:r w:rsidR="006A7B44" w:rsidRPr="0010176D">
        <w:rPr>
          <w:rFonts w:ascii="Times New Roman" w:hAnsi="Times New Roman" w:cs="Times New Roman"/>
          <w:bCs/>
        </w:rPr>
        <w:t>regulatory shift toward performance-based standards</w:t>
      </w:r>
      <w:r w:rsidR="00206FE6" w:rsidRPr="0010176D">
        <w:rPr>
          <w:rFonts w:ascii="Times New Roman" w:hAnsi="Times New Roman" w:cs="Times New Roman"/>
          <w:bCs/>
        </w:rPr>
        <w:t xml:space="preserve"> in </w:t>
      </w:r>
      <w:r w:rsidR="00A40EFD" w:rsidRPr="0010176D">
        <w:rPr>
          <w:rFonts w:ascii="Times New Roman" w:hAnsi="Times New Roman" w:cs="Times New Roman"/>
          <w:bCs/>
        </w:rPr>
        <w:t>Part 450</w:t>
      </w:r>
      <w:r w:rsidR="000131E0" w:rsidRPr="0010176D">
        <w:rPr>
          <w:rFonts w:ascii="Times New Roman" w:hAnsi="Times New Roman" w:cs="Times New Roman"/>
          <w:bCs/>
        </w:rPr>
        <w:t>.</w:t>
      </w:r>
      <w:r w:rsidR="000131E0" w:rsidRPr="0010176D">
        <w:rPr>
          <w:rStyle w:val="FootnoteReference"/>
          <w:rFonts w:ascii="Times New Roman" w:hAnsi="Times New Roman" w:cs="Times New Roman"/>
          <w:bCs/>
        </w:rPr>
        <w:footnoteReference w:id="40"/>
      </w:r>
    </w:p>
    <w:p w14:paraId="7974C43D" w14:textId="47602263" w:rsidR="009E3E4C"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lastRenderedPageBreak/>
        <w:tab/>
      </w:r>
      <w:r>
        <w:rPr>
          <w:rFonts w:ascii="Times New Roman" w:hAnsi="Times New Roman" w:cs="Times New Roman"/>
          <w:bCs/>
        </w:rPr>
        <w:tab/>
      </w:r>
      <w:r w:rsidR="0031259C" w:rsidRPr="0010176D">
        <w:rPr>
          <w:rFonts w:ascii="Times New Roman" w:hAnsi="Times New Roman" w:cs="Times New Roman"/>
          <w:bCs/>
        </w:rPr>
        <w:t xml:space="preserve">In achieving this vision, U.S. Space Force launch leadership acknowledged that its strategy had to address the unique nature of the space launch mission. </w:t>
      </w:r>
      <w:r w:rsidR="00690B5C" w:rsidRPr="0010176D">
        <w:rPr>
          <w:rFonts w:ascii="Times New Roman" w:hAnsi="Times New Roman" w:cs="Times New Roman"/>
          <w:bCs/>
        </w:rPr>
        <w:t>In particular, o</w:t>
      </w:r>
      <w:r w:rsidR="00581B06" w:rsidRPr="0010176D">
        <w:rPr>
          <w:rFonts w:ascii="Times New Roman" w:hAnsi="Times New Roman" w:cs="Times New Roman"/>
          <w:bCs/>
        </w:rPr>
        <w:t xml:space="preserve">ne leader </w:t>
      </w:r>
      <w:r w:rsidR="009E3E4C" w:rsidRPr="0010176D">
        <w:rPr>
          <w:rFonts w:ascii="Times New Roman" w:hAnsi="Times New Roman" w:cs="Times New Roman"/>
          <w:bCs/>
        </w:rPr>
        <w:t xml:space="preserve">noted that </w:t>
      </w:r>
      <w:r w:rsidR="00581B06" w:rsidRPr="0010176D">
        <w:rPr>
          <w:rFonts w:ascii="Times New Roman" w:hAnsi="Times New Roman" w:cs="Times New Roman"/>
          <w:bCs/>
        </w:rPr>
        <w:t xml:space="preserve">the launch enterprise differs from other mission areas in the U.S. Space Force </w:t>
      </w:r>
      <w:r w:rsidR="009E3E4C" w:rsidRPr="0010176D">
        <w:rPr>
          <w:rFonts w:ascii="Times New Roman" w:hAnsi="Times New Roman" w:cs="Times New Roman"/>
          <w:bCs/>
        </w:rPr>
        <w:t>because it is an inter-agency domain governed by multiple statutory authorities (e.g., Title 10 for DoD, Title 14 for FAA, and Title 51 for NASA).</w:t>
      </w:r>
      <w:r w:rsidR="00581B06" w:rsidRPr="0010176D">
        <w:rPr>
          <w:rStyle w:val="FootnoteReference"/>
          <w:rFonts w:ascii="Times New Roman" w:hAnsi="Times New Roman" w:cs="Times New Roman"/>
          <w:bCs/>
        </w:rPr>
        <w:footnoteReference w:id="41"/>
      </w:r>
      <w:r w:rsidR="009E3E4C" w:rsidRPr="0010176D">
        <w:rPr>
          <w:rFonts w:ascii="Times New Roman" w:hAnsi="Times New Roman" w:cs="Times New Roman"/>
          <w:bCs/>
        </w:rPr>
        <w:t xml:space="preserve"> This complexity require</w:t>
      </w:r>
      <w:r w:rsidR="00596A26" w:rsidRPr="0010176D">
        <w:rPr>
          <w:rFonts w:ascii="Times New Roman" w:hAnsi="Times New Roman" w:cs="Times New Roman"/>
          <w:bCs/>
        </w:rPr>
        <w:t>d</w:t>
      </w:r>
      <w:r w:rsidR="009E3E4C" w:rsidRPr="0010176D">
        <w:rPr>
          <w:rFonts w:ascii="Times New Roman" w:hAnsi="Times New Roman" w:cs="Times New Roman"/>
          <w:bCs/>
        </w:rPr>
        <w:t xml:space="preserve"> a coalition that can operate as a whole of government approach</w:t>
      </w:r>
      <w:r w:rsidR="00596A26" w:rsidRPr="0010176D">
        <w:rPr>
          <w:rFonts w:ascii="Times New Roman" w:hAnsi="Times New Roman" w:cs="Times New Roman"/>
          <w:bCs/>
        </w:rPr>
        <w:t xml:space="preserve"> while simultaneously </w:t>
      </w:r>
      <w:r w:rsidR="00314F35" w:rsidRPr="0010176D">
        <w:rPr>
          <w:rFonts w:ascii="Times New Roman" w:hAnsi="Times New Roman" w:cs="Times New Roman"/>
          <w:bCs/>
        </w:rPr>
        <w:t>partnering</w:t>
      </w:r>
      <w:r w:rsidR="009E3E4C" w:rsidRPr="0010176D">
        <w:rPr>
          <w:rFonts w:ascii="Times New Roman" w:hAnsi="Times New Roman" w:cs="Times New Roman"/>
          <w:bCs/>
        </w:rPr>
        <w:t xml:space="preserve"> with corporate entities</w:t>
      </w:r>
      <w:r w:rsidR="004F2C88" w:rsidRPr="0010176D">
        <w:rPr>
          <w:rFonts w:ascii="Times New Roman" w:hAnsi="Times New Roman" w:cs="Times New Roman"/>
          <w:bCs/>
        </w:rPr>
        <w:t xml:space="preserve">, </w:t>
      </w:r>
      <w:r w:rsidR="009E3E4C" w:rsidRPr="0010176D">
        <w:rPr>
          <w:rFonts w:ascii="Times New Roman" w:hAnsi="Times New Roman" w:cs="Times New Roman"/>
          <w:bCs/>
        </w:rPr>
        <w:t xml:space="preserve">and act like a corporate operator while still fulfilling a </w:t>
      </w:r>
      <w:r w:rsidR="003874CE" w:rsidRPr="0010176D">
        <w:rPr>
          <w:rFonts w:ascii="Times New Roman" w:hAnsi="Times New Roman" w:cs="Times New Roman"/>
          <w:bCs/>
        </w:rPr>
        <w:t xml:space="preserve">national security </w:t>
      </w:r>
      <w:r w:rsidR="009E3E4C" w:rsidRPr="0010176D">
        <w:rPr>
          <w:rFonts w:ascii="Times New Roman" w:hAnsi="Times New Roman" w:cs="Times New Roman"/>
          <w:bCs/>
        </w:rPr>
        <w:t>mission.</w:t>
      </w:r>
    </w:p>
    <w:p w14:paraId="43A0A0E5" w14:textId="77777777" w:rsidR="00135198" w:rsidRPr="0010176D" w:rsidRDefault="00135198" w:rsidP="00350E78">
      <w:pPr>
        <w:widowControl w:val="0"/>
        <w:tabs>
          <w:tab w:val="left" w:pos="270"/>
        </w:tabs>
        <w:autoSpaceDE w:val="0"/>
        <w:autoSpaceDN w:val="0"/>
        <w:spacing w:after="0" w:line="480" w:lineRule="auto"/>
        <w:rPr>
          <w:rFonts w:ascii="Times New Roman" w:hAnsi="Times New Roman" w:cs="Times New Roman"/>
          <w:b/>
          <w:bCs/>
        </w:rPr>
      </w:pPr>
    </w:p>
    <w:p w14:paraId="51A1227C" w14:textId="2BFDD351" w:rsidR="00631009" w:rsidRPr="0010176D" w:rsidRDefault="00AB2172" w:rsidP="00350E78">
      <w:pPr>
        <w:widowControl w:val="0"/>
        <w:tabs>
          <w:tab w:val="left" w:pos="270"/>
        </w:tabs>
        <w:autoSpaceDE w:val="0"/>
        <w:autoSpaceDN w:val="0"/>
        <w:spacing w:after="0" w:line="480" w:lineRule="auto"/>
        <w:rPr>
          <w:rFonts w:ascii="Times New Roman" w:hAnsi="Times New Roman" w:cs="Times New Roman"/>
          <w:b/>
          <w:bCs/>
        </w:rPr>
      </w:pPr>
      <w:r w:rsidRPr="0010176D">
        <w:rPr>
          <w:rFonts w:ascii="Times New Roman" w:hAnsi="Times New Roman" w:cs="Times New Roman"/>
          <w:b/>
          <w:bCs/>
        </w:rPr>
        <w:t xml:space="preserve">Step </w:t>
      </w:r>
      <w:r w:rsidR="00631009" w:rsidRPr="0010176D">
        <w:rPr>
          <w:rFonts w:ascii="Times New Roman" w:hAnsi="Times New Roman" w:cs="Times New Roman"/>
          <w:b/>
          <w:bCs/>
        </w:rPr>
        <w:t>4. Communicating the Change Vision</w:t>
      </w:r>
    </w:p>
    <w:p w14:paraId="7258B71E" w14:textId="15841228" w:rsidR="00BB1DCE"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917F0F" w:rsidRPr="0010176D">
        <w:rPr>
          <w:rFonts w:ascii="Times New Roman" w:hAnsi="Times New Roman" w:cs="Times New Roman"/>
          <w:bCs/>
        </w:rPr>
        <w:t xml:space="preserve">Throughout </w:t>
      </w:r>
      <w:r w:rsidR="000E1AE1" w:rsidRPr="0010176D">
        <w:rPr>
          <w:rFonts w:ascii="Times New Roman" w:hAnsi="Times New Roman" w:cs="Times New Roman"/>
          <w:bCs/>
        </w:rPr>
        <w:t>organization</w:t>
      </w:r>
      <w:r w:rsidR="00C46CCB" w:rsidRPr="0010176D">
        <w:rPr>
          <w:rFonts w:ascii="Times New Roman" w:hAnsi="Times New Roman" w:cs="Times New Roman"/>
          <w:bCs/>
        </w:rPr>
        <w:t>al</w:t>
      </w:r>
      <w:r w:rsidR="000E1AE1" w:rsidRPr="0010176D">
        <w:rPr>
          <w:rFonts w:ascii="Times New Roman" w:hAnsi="Times New Roman" w:cs="Times New Roman"/>
          <w:bCs/>
        </w:rPr>
        <w:t xml:space="preserve"> changes and </w:t>
      </w:r>
      <w:r w:rsidR="00C9204D" w:rsidRPr="0010176D">
        <w:rPr>
          <w:rFonts w:ascii="Times New Roman" w:hAnsi="Times New Roman" w:cs="Times New Roman"/>
          <w:bCs/>
        </w:rPr>
        <w:t>leaders</w:t>
      </w:r>
      <w:r w:rsidR="000E1AE1" w:rsidRPr="0010176D">
        <w:rPr>
          <w:rFonts w:ascii="Times New Roman" w:hAnsi="Times New Roman" w:cs="Times New Roman"/>
          <w:bCs/>
        </w:rPr>
        <w:t>hip transitions</w:t>
      </w:r>
      <w:r w:rsidR="00917F0F" w:rsidRPr="0010176D">
        <w:rPr>
          <w:rFonts w:ascii="Times New Roman" w:hAnsi="Times New Roman" w:cs="Times New Roman"/>
          <w:bCs/>
        </w:rPr>
        <w:t xml:space="preserve">, </w:t>
      </w:r>
      <w:r w:rsidR="000E1AE1" w:rsidRPr="0010176D">
        <w:rPr>
          <w:rFonts w:ascii="Times New Roman" w:hAnsi="Times New Roman" w:cs="Times New Roman"/>
          <w:bCs/>
        </w:rPr>
        <w:t>U.S. Space Force</w:t>
      </w:r>
      <w:r w:rsidR="00917F0F" w:rsidRPr="0010176D">
        <w:rPr>
          <w:rFonts w:ascii="Times New Roman" w:hAnsi="Times New Roman" w:cs="Times New Roman"/>
          <w:bCs/>
        </w:rPr>
        <w:t xml:space="preserve"> leadership</w:t>
      </w:r>
      <w:r w:rsidR="000E1AE1" w:rsidRPr="0010176D">
        <w:rPr>
          <w:rFonts w:ascii="Times New Roman" w:hAnsi="Times New Roman" w:cs="Times New Roman"/>
          <w:bCs/>
        </w:rPr>
        <w:t xml:space="preserve"> </w:t>
      </w:r>
      <w:r w:rsidR="00917F0F" w:rsidRPr="0010176D">
        <w:rPr>
          <w:rFonts w:ascii="Times New Roman" w:hAnsi="Times New Roman" w:cs="Times New Roman"/>
          <w:bCs/>
        </w:rPr>
        <w:t>consistently and cohesively communicated t</w:t>
      </w:r>
      <w:r w:rsidR="000E1AE1" w:rsidRPr="0010176D">
        <w:rPr>
          <w:rFonts w:ascii="Times New Roman" w:hAnsi="Times New Roman" w:cs="Times New Roman"/>
          <w:bCs/>
        </w:rPr>
        <w:t xml:space="preserve">o </w:t>
      </w:r>
      <w:r w:rsidR="00A6297E" w:rsidRPr="0010176D">
        <w:rPr>
          <w:rFonts w:ascii="Times New Roman" w:hAnsi="Times New Roman" w:cs="Times New Roman"/>
          <w:bCs/>
        </w:rPr>
        <w:t>Space Force G</w:t>
      </w:r>
      <w:r w:rsidR="000E1AE1" w:rsidRPr="0010176D">
        <w:rPr>
          <w:rFonts w:ascii="Times New Roman" w:hAnsi="Times New Roman" w:cs="Times New Roman"/>
          <w:bCs/>
        </w:rPr>
        <w:t xml:space="preserve">uardians, </w:t>
      </w:r>
      <w:r w:rsidR="00A6297E" w:rsidRPr="0010176D">
        <w:rPr>
          <w:rFonts w:ascii="Times New Roman" w:hAnsi="Times New Roman" w:cs="Times New Roman"/>
          <w:bCs/>
        </w:rPr>
        <w:t xml:space="preserve">to </w:t>
      </w:r>
      <w:r w:rsidR="000E1AE1" w:rsidRPr="0010176D">
        <w:rPr>
          <w:rFonts w:ascii="Times New Roman" w:hAnsi="Times New Roman" w:cs="Times New Roman"/>
          <w:bCs/>
        </w:rPr>
        <w:t>the public,</w:t>
      </w:r>
      <w:r w:rsidR="00A6297E" w:rsidRPr="0010176D">
        <w:rPr>
          <w:rFonts w:ascii="Times New Roman" w:hAnsi="Times New Roman" w:cs="Times New Roman"/>
          <w:bCs/>
        </w:rPr>
        <w:t xml:space="preserve"> to Congress,</w:t>
      </w:r>
      <w:r w:rsidR="000E1AE1" w:rsidRPr="0010176D">
        <w:rPr>
          <w:rFonts w:ascii="Times New Roman" w:hAnsi="Times New Roman" w:cs="Times New Roman"/>
          <w:bCs/>
        </w:rPr>
        <w:t xml:space="preserve"> and </w:t>
      </w:r>
      <w:r w:rsidR="00A6297E" w:rsidRPr="0010176D">
        <w:rPr>
          <w:rFonts w:ascii="Times New Roman" w:hAnsi="Times New Roman" w:cs="Times New Roman"/>
          <w:bCs/>
        </w:rPr>
        <w:t xml:space="preserve">to </w:t>
      </w:r>
      <w:r w:rsidR="000E1AE1" w:rsidRPr="0010176D">
        <w:rPr>
          <w:rFonts w:ascii="Times New Roman" w:hAnsi="Times New Roman" w:cs="Times New Roman"/>
          <w:bCs/>
        </w:rPr>
        <w:t xml:space="preserve">industry that </w:t>
      </w:r>
      <w:r w:rsidR="00A6297E" w:rsidRPr="0010176D">
        <w:rPr>
          <w:rFonts w:ascii="Times New Roman" w:hAnsi="Times New Roman" w:cs="Times New Roman"/>
          <w:bCs/>
        </w:rPr>
        <w:t>it</w:t>
      </w:r>
      <w:r w:rsidR="00E67C15" w:rsidRPr="0010176D">
        <w:rPr>
          <w:rFonts w:ascii="Times New Roman" w:hAnsi="Times New Roman" w:cs="Times New Roman"/>
          <w:bCs/>
        </w:rPr>
        <w:t xml:space="preserve"> best provides value to the nation and to the launch community </w:t>
      </w:r>
      <w:r w:rsidR="003037BE" w:rsidRPr="0010176D">
        <w:rPr>
          <w:rFonts w:ascii="Times New Roman" w:hAnsi="Times New Roman" w:cs="Times New Roman"/>
          <w:bCs/>
        </w:rPr>
        <w:t xml:space="preserve">as </w:t>
      </w:r>
      <w:r w:rsidR="00E67C15" w:rsidRPr="0010176D">
        <w:rPr>
          <w:rFonts w:ascii="Times New Roman" w:hAnsi="Times New Roman" w:cs="Times New Roman"/>
          <w:bCs/>
        </w:rPr>
        <w:t xml:space="preserve">both </w:t>
      </w:r>
      <w:r w:rsidR="003037BE" w:rsidRPr="0010176D">
        <w:rPr>
          <w:rFonts w:ascii="Times New Roman" w:hAnsi="Times New Roman" w:cs="Times New Roman"/>
          <w:bCs/>
        </w:rPr>
        <w:t xml:space="preserve">a spaceport manager and as a customer of launch services. </w:t>
      </w:r>
      <w:r w:rsidR="00743795" w:rsidRPr="0010176D">
        <w:rPr>
          <w:rFonts w:ascii="Times New Roman" w:hAnsi="Times New Roman" w:cs="Times New Roman"/>
          <w:bCs/>
        </w:rPr>
        <w:t>This</w:t>
      </w:r>
      <w:r w:rsidR="00BB1DCE" w:rsidRPr="0010176D">
        <w:rPr>
          <w:rFonts w:ascii="Times New Roman" w:hAnsi="Times New Roman" w:cs="Times New Roman"/>
          <w:bCs/>
        </w:rPr>
        <w:t xml:space="preserve"> echoed the </w:t>
      </w:r>
      <w:r w:rsidR="00743795" w:rsidRPr="0010176D">
        <w:rPr>
          <w:rFonts w:ascii="Times New Roman" w:hAnsi="Times New Roman" w:cs="Times New Roman"/>
          <w:bCs/>
        </w:rPr>
        <w:t>fundamental belief that</w:t>
      </w:r>
      <w:r w:rsidR="00743795" w:rsidRPr="0010176D">
        <w:rPr>
          <w:rFonts w:ascii="Times New Roman" w:hAnsi="Times New Roman" w:cs="Times New Roman"/>
        </w:rPr>
        <w:t xml:space="preserve"> all launches, whether commercial or military, benefit the nation</w:t>
      </w:r>
      <w:r w:rsidR="00BB1DCE" w:rsidRPr="0010176D">
        <w:rPr>
          <w:rFonts w:ascii="Times New Roman" w:hAnsi="Times New Roman" w:cs="Times New Roman"/>
        </w:rPr>
        <w:t xml:space="preserve">. </w:t>
      </w:r>
      <w:r w:rsidR="0027240F" w:rsidRPr="0010176D">
        <w:rPr>
          <w:rFonts w:ascii="Times New Roman" w:hAnsi="Times New Roman" w:cs="Times New Roman"/>
        </w:rPr>
        <w:t>At the operational level, U.S. Space Forc</w:t>
      </w:r>
      <w:r w:rsidR="0061229B" w:rsidRPr="0010176D">
        <w:rPr>
          <w:rFonts w:ascii="Times New Roman" w:hAnsi="Times New Roman" w:cs="Times New Roman"/>
        </w:rPr>
        <w:t>e leadership highlight</w:t>
      </w:r>
      <w:r w:rsidR="00421F8A" w:rsidRPr="0010176D">
        <w:rPr>
          <w:rFonts w:ascii="Times New Roman" w:hAnsi="Times New Roman" w:cs="Times New Roman"/>
        </w:rPr>
        <w:t>ed</w:t>
      </w:r>
      <w:r w:rsidR="0061229B" w:rsidRPr="0010176D">
        <w:rPr>
          <w:rFonts w:ascii="Times New Roman" w:hAnsi="Times New Roman" w:cs="Times New Roman"/>
        </w:rPr>
        <w:t xml:space="preserve"> the importance of mission success for every mission</w:t>
      </w:r>
      <w:r w:rsidR="00421F8A" w:rsidRPr="0010176D">
        <w:rPr>
          <w:rFonts w:ascii="Times New Roman" w:hAnsi="Times New Roman" w:cs="Times New Roman"/>
        </w:rPr>
        <w:t>, not just those for national security</w:t>
      </w:r>
      <w:r w:rsidR="003857F7" w:rsidRPr="0010176D">
        <w:rPr>
          <w:rFonts w:ascii="Times New Roman" w:hAnsi="Times New Roman" w:cs="Times New Roman"/>
        </w:rPr>
        <w:t xml:space="preserve"> or</w:t>
      </w:r>
      <w:r w:rsidR="00421F8A" w:rsidRPr="0010176D">
        <w:rPr>
          <w:rFonts w:ascii="Times New Roman" w:hAnsi="Times New Roman" w:cs="Times New Roman"/>
        </w:rPr>
        <w:t xml:space="preserve"> intelligence</w:t>
      </w:r>
      <w:r w:rsidR="003857F7" w:rsidRPr="0010176D">
        <w:rPr>
          <w:rFonts w:ascii="Times New Roman" w:hAnsi="Times New Roman" w:cs="Times New Roman"/>
        </w:rPr>
        <w:t xml:space="preserve"> missions.</w:t>
      </w:r>
      <w:r w:rsidR="003857F7" w:rsidRPr="0010176D">
        <w:rPr>
          <w:rStyle w:val="FootnoteReference"/>
          <w:rFonts w:ascii="Times New Roman" w:hAnsi="Times New Roman" w:cs="Times New Roman"/>
        </w:rPr>
        <w:footnoteReference w:id="42"/>
      </w:r>
      <w:r w:rsidR="003857F7" w:rsidRPr="0010176D">
        <w:rPr>
          <w:rFonts w:ascii="Times New Roman" w:hAnsi="Times New Roman" w:cs="Times New Roman"/>
        </w:rPr>
        <w:t xml:space="preserve"> </w:t>
      </w:r>
      <w:r w:rsidR="00BB1DCE" w:rsidRPr="0010176D">
        <w:rPr>
          <w:rFonts w:ascii="Times New Roman" w:hAnsi="Times New Roman" w:cs="Times New Roman"/>
        </w:rPr>
        <w:t>B</w:t>
      </w:r>
      <w:r w:rsidR="00BB1DCE" w:rsidRPr="0010176D">
        <w:rPr>
          <w:rFonts w:ascii="Times New Roman" w:hAnsi="Times New Roman" w:cs="Times New Roman"/>
          <w:bCs/>
        </w:rPr>
        <w:t xml:space="preserve">y framing the U.S. Space Force position in this way, they successfully </w:t>
      </w:r>
      <w:r w:rsidR="00D71978" w:rsidRPr="0010176D">
        <w:rPr>
          <w:rFonts w:ascii="Times New Roman" w:hAnsi="Times New Roman" w:cs="Times New Roman"/>
          <w:bCs/>
        </w:rPr>
        <w:t xml:space="preserve">shifted the “hearts and minds” of the workforce and earned valuable allies in resourcing the spaceports. </w:t>
      </w:r>
    </w:p>
    <w:p w14:paraId="10C6D46A" w14:textId="1D0D44AD" w:rsidR="0083136D"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803D38" w:rsidRPr="0010176D">
        <w:rPr>
          <w:rFonts w:ascii="Times New Roman" w:hAnsi="Times New Roman" w:cs="Times New Roman"/>
          <w:bCs/>
        </w:rPr>
        <w:t xml:space="preserve">In full transparency, the </w:t>
      </w:r>
      <w:r w:rsidR="00F714FE" w:rsidRPr="0010176D">
        <w:rPr>
          <w:rFonts w:ascii="Times New Roman" w:hAnsi="Times New Roman" w:cs="Times New Roman"/>
          <w:bCs/>
        </w:rPr>
        <w:t xml:space="preserve">U.S. Space Force acknowledged </w:t>
      </w:r>
      <w:r w:rsidR="007102D2" w:rsidRPr="0010176D">
        <w:rPr>
          <w:rFonts w:ascii="Times New Roman" w:hAnsi="Times New Roman" w:cs="Times New Roman"/>
          <w:bCs/>
        </w:rPr>
        <w:t xml:space="preserve">infrastructure and resource </w:t>
      </w:r>
      <w:r w:rsidR="00803D38" w:rsidRPr="0010176D">
        <w:rPr>
          <w:rFonts w:ascii="Times New Roman" w:hAnsi="Times New Roman" w:cs="Times New Roman"/>
          <w:bCs/>
        </w:rPr>
        <w:t xml:space="preserve">shortcomings </w:t>
      </w:r>
      <w:r w:rsidR="007102D2" w:rsidRPr="0010176D">
        <w:rPr>
          <w:rFonts w:ascii="Times New Roman" w:hAnsi="Times New Roman" w:cs="Times New Roman"/>
          <w:bCs/>
        </w:rPr>
        <w:t>that would pro</w:t>
      </w:r>
      <w:r w:rsidR="00EB591C" w:rsidRPr="0010176D">
        <w:rPr>
          <w:rFonts w:ascii="Times New Roman" w:hAnsi="Times New Roman" w:cs="Times New Roman"/>
          <w:bCs/>
        </w:rPr>
        <w:t xml:space="preserve">hibit a </w:t>
      </w:r>
      <w:r w:rsidR="001D608C" w:rsidRPr="0010176D">
        <w:rPr>
          <w:rFonts w:ascii="Times New Roman" w:hAnsi="Times New Roman" w:cs="Times New Roman"/>
          <w:bCs/>
        </w:rPr>
        <w:t>“spaceport of the future” vision.</w:t>
      </w:r>
      <w:r w:rsidR="00C5732C" w:rsidRPr="0010176D">
        <w:rPr>
          <w:rFonts w:ascii="Times New Roman" w:hAnsi="Times New Roman" w:cs="Times New Roman"/>
          <w:bCs/>
        </w:rPr>
        <w:t xml:space="preserve"> </w:t>
      </w:r>
      <w:r w:rsidR="001752DF" w:rsidRPr="0010176D">
        <w:rPr>
          <w:rFonts w:ascii="Times New Roman" w:hAnsi="Times New Roman" w:cs="Times New Roman"/>
          <w:bCs/>
        </w:rPr>
        <w:t xml:space="preserve">This was communicated in its annex to the </w:t>
      </w:r>
      <w:r w:rsidR="0014387B" w:rsidRPr="0010176D">
        <w:rPr>
          <w:rFonts w:ascii="Times New Roman" w:hAnsi="Times New Roman" w:cs="Times New Roman"/>
          <w:bCs/>
        </w:rPr>
        <w:t xml:space="preserve">House Armed Services Committee’s FY26 draft policy bill where the Space Force noted, </w:t>
      </w:r>
      <w:r w:rsidR="00977BD0" w:rsidRPr="0010176D">
        <w:rPr>
          <w:rFonts w:ascii="Times New Roman" w:hAnsi="Times New Roman" w:cs="Times New Roman"/>
          <w:bCs/>
        </w:rPr>
        <w:t xml:space="preserve">“The demand for operational support and infrastructure sustainment and </w:t>
      </w:r>
      <w:r w:rsidR="00977BD0" w:rsidRPr="0010176D">
        <w:rPr>
          <w:rFonts w:ascii="Times New Roman" w:hAnsi="Times New Roman" w:cs="Times New Roman"/>
          <w:bCs/>
        </w:rPr>
        <w:lastRenderedPageBreak/>
        <w:t>modernization exceeds USSF resources</w:t>
      </w:r>
      <w:r w:rsidR="00862EAF" w:rsidRPr="0010176D">
        <w:rPr>
          <w:rFonts w:ascii="Times New Roman" w:hAnsi="Times New Roman" w:cs="Times New Roman"/>
          <w:bCs/>
        </w:rPr>
        <w:t>.</w:t>
      </w:r>
      <w:r w:rsidR="001752DF" w:rsidRPr="0010176D">
        <w:rPr>
          <w:rFonts w:ascii="Times New Roman" w:hAnsi="Times New Roman" w:cs="Times New Roman"/>
          <w:bCs/>
        </w:rPr>
        <w:t>”</w:t>
      </w:r>
      <w:r w:rsidR="00862EAF" w:rsidRPr="0010176D">
        <w:rPr>
          <w:rStyle w:val="FootnoteReference"/>
          <w:rFonts w:ascii="Times New Roman" w:hAnsi="Times New Roman" w:cs="Times New Roman"/>
          <w:bCs/>
        </w:rPr>
        <w:footnoteReference w:id="43"/>
      </w:r>
      <w:r w:rsidR="00220BF5" w:rsidRPr="0010176D">
        <w:rPr>
          <w:rFonts w:ascii="Times New Roman" w:hAnsi="Times New Roman" w:cs="Times New Roman"/>
          <w:bCs/>
        </w:rPr>
        <w:t xml:space="preserve"> </w:t>
      </w:r>
      <w:r w:rsidR="001D608C" w:rsidRPr="0010176D">
        <w:rPr>
          <w:rFonts w:ascii="Times New Roman" w:hAnsi="Times New Roman" w:cs="Times New Roman"/>
          <w:bCs/>
        </w:rPr>
        <w:t>Through years of effort and a</w:t>
      </w:r>
      <w:r w:rsidR="00EA48E7" w:rsidRPr="0010176D">
        <w:rPr>
          <w:rFonts w:ascii="Times New Roman" w:hAnsi="Times New Roman" w:cs="Times New Roman"/>
          <w:bCs/>
        </w:rPr>
        <w:t>n aggressive</w:t>
      </w:r>
      <w:r w:rsidR="001D608C" w:rsidRPr="0010176D">
        <w:rPr>
          <w:rFonts w:ascii="Times New Roman" w:hAnsi="Times New Roman" w:cs="Times New Roman"/>
          <w:bCs/>
        </w:rPr>
        <w:t xml:space="preserve"> campaign </w:t>
      </w:r>
      <w:r w:rsidR="00EA48E7" w:rsidRPr="0010176D">
        <w:rPr>
          <w:rFonts w:ascii="Times New Roman" w:hAnsi="Times New Roman" w:cs="Times New Roman"/>
          <w:bCs/>
        </w:rPr>
        <w:t>to convince</w:t>
      </w:r>
      <w:r w:rsidR="001D608C" w:rsidRPr="0010176D">
        <w:rPr>
          <w:rFonts w:ascii="Times New Roman" w:hAnsi="Times New Roman" w:cs="Times New Roman"/>
          <w:bCs/>
        </w:rPr>
        <w:t xml:space="preserve"> Congress, t</w:t>
      </w:r>
      <w:r w:rsidR="00EA48E7" w:rsidRPr="0010176D">
        <w:rPr>
          <w:rFonts w:ascii="Times New Roman" w:hAnsi="Times New Roman" w:cs="Times New Roman"/>
          <w:bCs/>
        </w:rPr>
        <w:t>he Office of Management and Budget (OMB)</w:t>
      </w:r>
      <w:r w:rsidR="001D608C" w:rsidRPr="0010176D">
        <w:rPr>
          <w:rFonts w:ascii="Times New Roman" w:hAnsi="Times New Roman" w:cs="Times New Roman"/>
          <w:bCs/>
        </w:rPr>
        <w:t>,</w:t>
      </w:r>
      <w:r w:rsidR="00EA48E7" w:rsidRPr="0010176D">
        <w:rPr>
          <w:rFonts w:ascii="Times New Roman" w:hAnsi="Times New Roman" w:cs="Times New Roman"/>
          <w:bCs/>
        </w:rPr>
        <w:t xml:space="preserve"> and industry partners that </w:t>
      </w:r>
      <w:r w:rsidR="001D608C" w:rsidRPr="0010176D">
        <w:rPr>
          <w:rFonts w:ascii="Times New Roman" w:hAnsi="Times New Roman" w:cs="Times New Roman"/>
          <w:bCs/>
        </w:rPr>
        <w:t xml:space="preserve">a spaceport model would not close </w:t>
      </w:r>
      <w:r w:rsidR="00EA48E7" w:rsidRPr="0010176D">
        <w:rPr>
          <w:rFonts w:ascii="Times New Roman" w:hAnsi="Times New Roman" w:cs="Times New Roman"/>
          <w:bCs/>
        </w:rPr>
        <w:t xml:space="preserve">without immediate infrastructure </w:t>
      </w:r>
      <w:r w:rsidR="00EB591C" w:rsidRPr="0010176D">
        <w:rPr>
          <w:rFonts w:ascii="Times New Roman" w:hAnsi="Times New Roman" w:cs="Times New Roman"/>
          <w:bCs/>
        </w:rPr>
        <w:t xml:space="preserve">support, the U.S. Space Force successfully </w:t>
      </w:r>
      <w:r w:rsidR="00CA7420" w:rsidRPr="0010176D">
        <w:rPr>
          <w:rFonts w:ascii="Times New Roman" w:hAnsi="Times New Roman" w:cs="Times New Roman"/>
          <w:bCs/>
        </w:rPr>
        <w:t>secured</w:t>
      </w:r>
      <w:r w:rsidR="00EB591C" w:rsidRPr="0010176D">
        <w:rPr>
          <w:rFonts w:ascii="Times New Roman" w:hAnsi="Times New Roman" w:cs="Times New Roman"/>
          <w:bCs/>
        </w:rPr>
        <w:t xml:space="preserve"> $1.</w:t>
      </w:r>
      <w:r w:rsidR="00C62005" w:rsidRPr="0010176D">
        <w:rPr>
          <w:rFonts w:ascii="Times New Roman" w:hAnsi="Times New Roman" w:cs="Times New Roman"/>
          <w:bCs/>
        </w:rPr>
        <w:t>4</w:t>
      </w:r>
      <w:r w:rsidR="00EB591C" w:rsidRPr="0010176D">
        <w:rPr>
          <w:rFonts w:ascii="Times New Roman" w:hAnsi="Times New Roman" w:cs="Times New Roman"/>
          <w:bCs/>
        </w:rPr>
        <w:t xml:space="preserve"> </w:t>
      </w:r>
      <w:r w:rsidR="00CA7420" w:rsidRPr="0010176D">
        <w:rPr>
          <w:rFonts w:ascii="Times New Roman" w:hAnsi="Times New Roman" w:cs="Times New Roman"/>
          <w:bCs/>
        </w:rPr>
        <w:t xml:space="preserve">billion for its </w:t>
      </w:r>
      <w:r w:rsidR="0083136D" w:rsidRPr="0010176D">
        <w:rPr>
          <w:rFonts w:ascii="Times New Roman" w:hAnsi="Times New Roman" w:cs="Times New Roman"/>
          <w:bCs/>
        </w:rPr>
        <w:t>“</w:t>
      </w:r>
      <w:r w:rsidR="00CA7420" w:rsidRPr="0010176D">
        <w:rPr>
          <w:rFonts w:ascii="Times New Roman" w:hAnsi="Times New Roman" w:cs="Times New Roman"/>
          <w:bCs/>
        </w:rPr>
        <w:t>spaceport of the future</w:t>
      </w:r>
      <w:r w:rsidR="0083136D" w:rsidRPr="0010176D">
        <w:rPr>
          <w:rFonts w:ascii="Times New Roman" w:hAnsi="Times New Roman" w:cs="Times New Roman"/>
          <w:bCs/>
        </w:rPr>
        <w:t>”</w:t>
      </w:r>
      <w:r w:rsidR="00CA7420" w:rsidRPr="0010176D">
        <w:rPr>
          <w:rFonts w:ascii="Times New Roman" w:hAnsi="Times New Roman" w:cs="Times New Roman"/>
          <w:bCs/>
        </w:rPr>
        <w:t xml:space="preserve"> program.</w:t>
      </w:r>
      <w:r w:rsidR="0083136D" w:rsidRPr="0010176D">
        <w:rPr>
          <w:rFonts w:ascii="Times New Roman" w:hAnsi="Times New Roman" w:cs="Times New Roman"/>
          <w:bCs/>
        </w:rPr>
        <w:t xml:space="preserve"> </w:t>
      </w:r>
    </w:p>
    <w:p w14:paraId="336A54E6" w14:textId="2515096D" w:rsidR="006570C3"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206361" w:rsidRPr="0010176D">
        <w:rPr>
          <w:rFonts w:ascii="Times New Roman" w:hAnsi="Times New Roman" w:cs="Times New Roman"/>
          <w:bCs/>
        </w:rPr>
        <w:t>Th</w:t>
      </w:r>
      <w:r w:rsidR="00A80836" w:rsidRPr="0010176D">
        <w:rPr>
          <w:rFonts w:ascii="Times New Roman" w:hAnsi="Times New Roman" w:cs="Times New Roman"/>
          <w:bCs/>
        </w:rPr>
        <w:t>e consistent and cohesive communication strategy served the U.S. Space Force well</w:t>
      </w:r>
      <w:r w:rsidR="00035610" w:rsidRPr="0010176D">
        <w:rPr>
          <w:rFonts w:ascii="Times New Roman" w:hAnsi="Times New Roman" w:cs="Times New Roman"/>
          <w:bCs/>
        </w:rPr>
        <w:t xml:space="preserve">. In “Leading Change,” </w:t>
      </w:r>
      <w:r w:rsidR="00857226" w:rsidRPr="0010176D">
        <w:rPr>
          <w:rFonts w:ascii="Times New Roman" w:hAnsi="Times New Roman" w:cs="Times New Roman"/>
          <w:bCs/>
        </w:rPr>
        <w:t>Kotter warns that under-communicating the vision is a common pitfall</w:t>
      </w:r>
      <w:r w:rsidR="00035610" w:rsidRPr="0010176D">
        <w:rPr>
          <w:rFonts w:ascii="Times New Roman" w:hAnsi="Times New Roman" w:cs="Times New Roman"/>
          <w:bCs/>
        </w:rPr>
        <w:t xml:space="preserve"> toward achieving </w:t>
      </w:r>
      <w:r w:rsidR="00B36B14" w:rsidRPr="0010176D">
        <w:rPr>
          <w:rFonts w:ascii="Times New Roman" w:hAnsi="Times New Roman" w:cs="Times New Roman"/>
          <w:bCs/>
        </w:rPr>
        <w:t>an organization’s objectives.</w:t>
      </w:r>
      <w:r w:rsidR="00035610" w:rsidRPr="0010176D">
        <w:rPr>
          <w:rStyle w:val="FootnoteReference"/>
          <w:rFonts w:ascii="Times New Roman" w:hAnsi="Times New Roman" w:cs="Times New Roman"/>
          <w:bCs/>
        </w:rPr>
        <w:footnoteReference w:id="44"/>
      </w:r>
      <w:r w:rsidR="00B36B14" w:rsidRPr="0010176D">
        <w:rPr>
          <w:rFonts w:ascii="Times New Roman" w:hAnsi="Times New Roman" w:cs="Times New Roman"/>
          <w:bCs/>
        </w:rPr>
        <w:t xml:space="preserve"> To overcome this risk, Space Force</w:t>
      </w:r>
      <w:r w:rsidR="003820B7" w:rsidRPr="0010176D">
        <w:rPr>
          <w:rFonts w:ascii="Times New Roman" w:hAnsi="Times New Roman" w:cs="Times New Roman"/>
          <w:bCs/>
        </w:rPr>
        <w:t xml:space="preserve"> leadership</w:t>
      </w:r>
      <w:r w:rsidR="00B36B14" w:rsidRPr="0010176D">
        <w:rPr>
          <w:rFonts w:ascii="Times New Roman" w:hAnsi="Times New Roman" w:cs="Times New Roman"/>
          <w:bCs/>
        </w:rPr>
        <w:t xml:space="preserve"> used </w:t>
      </w:r>
      <w:r w:rsidR="00035610" w:rsidRPr="0010176D">
        <w:rPr>
          <w:rFonts w:ascii="Times New Roman" w:hAnsi="Times New Roman" w:cs="Times New Roman"/>
          <w:bCs/>
        </w:rPr>
        <w:t>every vehicle possible</w:t>
      </w:r>
      <w:r w:rsidR="00B36B14" w:rsidRPr="0010176D">
        <w:rPr>
          <w:rFonts w:ascii="Times New Roman" w:hAnsi="Times New Roman" w:cs="Times New Roman"/>
          <w:bCs/>
        </w:rPr>
        <w:t>, including</w:t>
      </w:r>
      <w:r w:rsidR="00035610" w:rsidRPr="0010176D">
        <w:rPr>
          <w:rFonts w:ascii="Times New Roman" w:hAnsi="Times New Roman" w:cs="Times New Roman"/>
          <w:bCs/>
        </w:rPr>
        <w:t xml:space="preserve"> town halls</w:t>
      </w:r>
      <w:r w:rsidR="00B36B14" w:rsidRPr="0010176D">
        <w:rPr>
          <w:rFonts w:ascii="Times New Roman" w:hAnsi="Times New Roman" w:cs="Times New Roman"/>
          <w:bCs/>
        </w:rPr>
        <w:t>, numerous space conferences, and</w:t>
      </w:r>
      <w:r w:rsidR="00035610" w:rsidRPr="0010176D">
        <w:rPr>
          <w:rFonts w:ascii="Times New Roman" w:hAnsi="Times New Roman" w:cs="Times New Roman"/>
          <w:bCs/>
        </w:rPr>
        <w:t xml:space="preserve"> budget justifications</w:t>
      </w:r>
      <w:r w:rsidR="00B36B14" w:rsidRPr="0010176D">
        <w:rPr>
          <w:rFonts w:ascii="Times New Roman" w:hAnsi="Times New Roman" w:cs="Times New Roman"/>
          <w:bCs/>
        </w:rPr>
        <w:t xml:space="preserve">, to signal the </w:t>
      </w:r>
      <w:r w:rsidR="000A7EC7" w:rsidRPr="0010176D">
        <w:rPr>
          <w:rFonts w:ascii="Times New Roman" w:hAnsi="Times New Roman" w:cs="Times New Roman"/>
          <w:bCs/>
        </w:rPr>
        <w:t>Space Force commitment to supporting commercial industry during the rise in launch cadence.</w:t>
      </w:r>
      <w:r w:rsidR="003820B7" w:rsidRPr="0010176D">
        <w:rPr>
          <w:rFonts w:ascii="Times New Roman" w:hAnsi="Times New Roman" w:cs="Times New Roman"/>
          <w:bCs/>
        </w:rPr>
        <w:t xml:space="preserve"> </w:t>
      </w:r>
      <w:r w:rsidR="0058637A" w:rsidRPr="0010176D">
        <w:rPr>
          <w:rFonts w:ascii="Times New Roman" w:hAnsi="Times New Roman" w:cs="Times New Roman"/>
          <w:bCs/>
        </w:rPr>
        <w:t xml:space="preserve">In addition to the constant communication, a key strategy </w:t>
      </w:r>
      <w:r w:rsidR="00E939B2" w:rsidRPr="0010176D">
        <w:rPr>
          <w:rFonts w:ascii="Times New Roman" w:hAnsi="Times New Roman" w:cs="Times New Roman"/>
          <w:bCs/>
        </w:rPr>
        <w:t>U.S. Space Force leaders leveraged was the</w:t>
      </w:r>
      <w:r w:rsidR="006570C3" w:rsidRPr="0010176D">
        <w:rPr>
          <w:rFonts w:ascii="Times New Roman" w:hAnsi="Times New Roman" w:cs="Times New Roman"/>
          <w:bCs/>
        </w:rPr>
        <w:t xml:space="preserve"> need for equitable cost-sharing of spaceport infrastructure and balanced input on public/private infrastructure investment.</w:t>
      </w:r>
      <w:r w:rsidR="00F25C78" w:rsidRPr="0010176D">
        <w:rPr>
          <w:rStyle w:val="FootnoteReference"/>
          <w:rFonts w:ascii="Times New Roman" w:hAnsi="Times New Roman" w:cs="Times New Roman"/>
          <w:bCs/>
        </w:rPr>
        <w:footnoteReference w:id="45"/>
      </w:r>
      <w:r w:rsidR="006570C3" w:rsidRPr="0010176D">
        <w:rPr>
          <w:rFonts w:ascii="Times New Roman" w:hAnsi="Times New Roman" w:cs="Times New Roman"/>
          <w:bCs/>
        </w:rPr>
        <w:t xml:space="preserve"> </w:t>
      </w:r>
      <w:r w:rsidR="00AD5AC1" w:rsidRPr="0010176D">
        <w:rPr>
          <w:rFonts w:ascii="Times New Roman" w:hAnsi="Times New Roman" w:cs="Times New Roman"/>
          <w:bCs/>
        </w:rPr>
        <w:t xml:space="preserve">This was key in </w:t>
      </w:r>
      <w:r w:rsidR="00705CD2" w:rsidRPr="0010176D">
        <w:rPr>
          <w:rFonts w:ascii="Times New Roman" w:hAnsi="Times New Roman" w:cs="Times New Roman"/>
          <w:bCs/>
        </w:rPr>
        <w:t xml:space="preserve">aligning priorities and building political capital, and secured </w:t>
      </w:r>
      <w:r w:rsidR="00F25C78" w:rsidRPr="0010176D">
        <w:rPr>
          <w:rFonts w:ascii="Times New Roman" w:hAnsi="Times New Roman" w:cs="Times New Roman"/>
          <w:bCs/>
        </w:rPr>
        <w:t xml:space="preserve">sufficient </w:t>
      </w:r>
      <w:r w:rsidR="00AD5AC1" w:rsidRPr="0010176D">
        <w:rPr>
          <w:rFonts w:ascii="Times New Roman" w:hAnsi="Times New Roman" w:cs="Times New Roman"/>
          <w:bCs/>
        </w:rPr>
        <w:t xml:space="preserve">allies </w:t>
      </w:r>
      <w:r w:rsidR="00705CD2" w:rsidRPr="0010176D">
        <w:rPr>
          <w:rFonts w:ascii="Times New Roman" w:hAnsi="Times New Roman" w:cs="Times New Roman"/>
          <w:bCs/>
        </w:rPr>
        <w:t>across Congress and OMB</w:t>
      </w:r>
      <w:r w:rsidR="00F25C78" w:rsidRPr="0010176D">
        <w:rPr>
          <w:rFonts w:ascii="Times New Roman" w:hAnsi="Times New Roman" w:cs="Times New Roman"/>
          <w:bCs/>
        </w:rPr>
        <w:t xml:space="preserve"> to ensure sufficient funding for “spaceport of the future.”</w:t>
      </w:r>
    </w:p>
    <w:p w14:paraId="7C58E58A" w14:textId="77777777" w:rsidR="00325DA2" w:rsidRPr="0010176D" w:rsidRDefault="00325DA2" w:rsidP="00350E78">
      <w:pPr>
        <w:pStyle w:val="ListParagraph"/>
        <w:widowControl w:val="0"/>
        <w:tabs>
          <w:tab w:val="left" w:pos="270"/>
        </w:tabs>
        <w:autoSpaceDE w:val="0"/>
        <w:autoSpaceDN w:val="0"/>
        <w:spacing w:after="0" w:line="480" w:lineRule="auto"/>
        <w:rPr>
          <w:rFonts w:ascii="Times New Roman" w:hAnsi="Times New Roman" w:cs="Times New Roman"/>
          <w:bCs/>
        </w:rPr>
      </w:pPr>
    </w:p>
    <w:p w14:paraId="0A9A0901" w14:textId="3A087493" w:rsidR="00631009" w:rsidRPr="0010176D" w:rsidRDefault="00AB2172" w:rsidP="00350E78">
      <w:pPr>
        <w:widowControl w:val="0"/>
        <w:tabs>
          <w:tab w:val="left" w:pos="270"/>
        </w:tabs>
        <w:autoSpaceDE w:val="0"/>
        <w:autoSpaceDN w:val="0"/>
        <w:spacing w:after="0" w:line="480" w:lineRule="auto"/>
        <w:rPr>
          <w:rFonts w:ascii="Times New Roman" w:hAnsi="Times New Roman" w:cs="Times New Roman"/>
          <w:b/>
          <w:bCs/>
        </w:rPr>
      </w:pPr>
      <w:r w:rsidRPr="0010176D">
        <w:rPr>
          <w:rFonts w:ascii="Times New Roman" w:hAnsi="Times New Roman" w:cs="Times New Roman"/>
          <w:b/>
          <w:bCs/>
        </w:rPr>
        <w:t xml:space="preserve">Step </w:t>
      </w:r>
      <w:r w:rsidR="00631009" w:rsidRPr="0010176D">
        <w:rPr>
          <w:rFonts w:ascii="Times New Roman" w:hAnsi="Times New Roman" w:cs="Times New Roman"/>
          <w:b/>
          <w:bCs/>
        </w:rPr>
        <w:t>5. Empowering Employees for Broad-Based Action</w:t>
      </w:r>
    </w:p>
    <w:p w14:paraId="7191AF71" w14:textId="23373CC1" w:rsidR="003E55B9"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631009" w:rsidRPr="0010176D">
        <w:rPr>
          <w:rFonts w:ascii="Times New Roman" w:hAnsi="Times New Roman" w:cs="Times New Roman"/>
          <w:bCs/>
        </w:rPr>
        <w:t xml:space="preserve">To </w:t>
      </w:r>
      <w:r w:rsidR="00F73314" w:rsidRPr="0010176D">
        <w:rPr>
          <w:rFonts w:ascii="Times New Roman" w:hAnsi="Times New Roman" w:cs="Times New Roman"/>
          <w:bCs/>
        </w:rPr>
        <w:t xml:space="preserve">sustain organizational change and </w:t>
      </w:r>
      <w:r w:rsidR="00631009" w:rsidRPr="0010176D">
        <w:rPr>
          <w:rFonts w:ascii="Times New Roman" w:hAnsi="Times New Roman" w:cs="Times New Roman"/>
          <w:bCs/>
        </w:rPr>
        <w:t>empower action, leaders must remove</w:t>
      </w:r>
      <w:r w:rsidR="00F73314" w:rsidRPr="0010176D">
        <w:rPr>
          <w:rFonts w:ascii="Times New Roman" w:hAnsi="Times New Roman" w:cs="Times New Roman"/>
          <w:bCs/>
        </w:rPr>
        <w:t xml:space="preserve"> obstacles </w:t>
      </w:r>
      <w:r w:rsidR="00631009" w:rsidRPr="0010176D">
        <w:rPr>
          <w:rFonts w:ascii="Times New Roman" w:hAnsi="Times New Roman" w:cs="Times New Roman"/>
          <w:bCs/>
        </w:rPr>
        <w:t xml:space="preserve">blocking </w:t>
      </w:r>
      <w:r w:rsidR="00E0689B" w:rsidRPr="0010176D">
        <w:rPr>
          <w:rFonts w:ascii="Times New Roman" w:hAnsi="Times New Roman" w:cs="Times New Roman"/>
          <w:bCs/>
        </w:rPr>
        <w:t xml:space="preserve">mission execution. </w:t>
      </w:r>
      <w:r w:rsidR="00235A65" w:rsidRPr="0010176D">
        <w:rPr>
          <w:rFonts w:ascii="Times New Roman" w:hAnsi="Times New Roman" w:cs="Times New Roman"/>
          <w:bCs/>
        </w:rPr>
        <w:t>For commercial launch companies, obstacles were</w:t>
      </w:r>
      <w:r w:rsidR="000E15FE" w:rsidRPr="0010176D">
        <w:rPr>
          <w:rFonts w:ascii="Times New Roman" w:hAnsi="Times New Roman" w:cs="Times New Roman"/>
          <w:bCs/>
        </w:rPr>
        <w:t xml:space="preserve"> often the prescriptive</w:t>
      </w:r>
      <w:r w:rsidR="00235A65" w:rsidRPr="0010176D">
        <w:rPr>
          <w:rFonts w:ascii="Times New Roman" w:hAnsi="Times New Roman" w:cs="Times New Roman"/>
          <w:bCs/>
        </w:rPr>
        <w:t xml:space="preserve"> and</w:t>
      </w:r>
      <w:r w:rsidR="000E15FE" w:rsidRPr="0010176D">
        <w:rPr>
          <w:rFonts w:ascii="Times New Roman" w:hAnsi="Times New Roman" w:cs="Times New Roman"/>
          <w:bCs/>
        </w:rPr>
        <w:t xml:space="preserve"> cumbersome licensing and safety process</w:t>
      </w:r>
      <w:r w:rsidR="00300A4D" w:rsidRPr="0010176D">
        <w:rPr>
          <w:rFonts w:ascii="Times New Roman" w:hAnsi="Times New Roman" w:cs="Times New Roman"/>
          <w:bCs/>
        </w:rPr>
        <w:t>, and the i</w:t>
      </w:r>
      <w:r w:rsidR="00235A65" w:rsidRPr="0010176D">
        <w:rPr>
          <w:rFonts w:ascii="Times New Roman" w:hAnsi="Times New Roman" w:cs="Times New Roman"/>
          <w:bCs/>
        </w:rPr>
        <w:t xml:space="preserve">dea behind the </w:t>
      </w:r>
      <w:r w:rsidR="000E15FE" w:rsidRPr="0010176D">
        <w:rPr>
          <w:rFonts w:ascii="Times New Roman" w:hAnsi="Times New Roman" w:cs="Times New Roman"/>
          <w:bCs/>
        </w:rPr>
        <w:t xml:space="preserve">transition to </w:t>
      </w:r>
      <w:r w:rsidR="00235A65" w:rsidRPr="0010176D">
        <w:rPr>
          <w:rFonts w:ascii="Times New Roman" w:hAnsi="Times New Roman" w:cs="Times New Roman"/>
          <w:bCs/>
        </w:rPr>
        <w:t xml:space="preserve">Part 450 regulations </w:t>
      </w:r>
      <w:r w:rsidR="000E15FE" w:rsidRPr="0010176D">
        <w:rPr>
          <w:rFonts w:ascii="Times New Roman" w:hAnsi="Times New Roman" w:cs="Times New Roman"/>
          <w:bCs/>
        </w:rPr>
        <w:t xml:space="preserve">was </w:t>
      </w:r>
      <w:r w:rsidR="00235A65" w:rsidRPr="0010176D">
        <w:rPr>
          <w:rFonts w:ascii="Times New Roman" w:hAnsi="Times New Roman" w:cs="Times New Roman"/>
          <w:bCs/>
        </w:rPr>
        <w:t>to</w:t>
      </w:r>
      <w:r w:rsidR="000E15FE" w:rsidRPr="0010176D">
        <w:rPr>
          <w:rFonts w:ascii="Times New Roman" w:hAnsi="Times New Roman" w:cs="Times New Roman"/>
          <w:bCs/>
        </w:rPr>
        <w:t xml:space="preserve"> remov</w:t>
      </w:r>
      <w:r w:rsidR="00235A65" w:rsidRPr="0010176D">
        <w:rPr>
          <w:rFonts w:ascii="Times New Roman" w:hAnsi="Times New Roman" w:cs="Times New Roman"/>
          <w:bCs/>
        </w:rPr>
        <w:t>e</w:t>
      </w:r>
      <w:r w:rsidR="000E15FE" w:rsidRPr="0010176D">
        <w:rPr>
          <w:rFonts w:ascii="Times New Roman" w:hAnsi="Times New Roman" w:cs="Times New Roman"/>
          <w:bCs/>
        </w:rPr>
        <w:t xml:space="preserve"> these obstacles. By allowing for incremental reviews and </w:t>
      </w:r>
      <w:r w:rsidR="000E15FE" w:rsidRPr="0010176D">
        <w:rPr>
          <w:rFonts w:ascii="Times New Roman" w:hAnsi="Times New Roman" w:cs="Times New Roman"/>
          <w:bCs/>
        </w:rPr>
        <w:lastRenderedPageBreak/>
        <w:t>consolidated licenses, the</w:t>
      </w:r>
      <w:r w:rsidR="00300A4D" w:rsidRPr="0010176D">
        <w:rPr>
          <w:rFonts w:ascii="Times New Roman" w:hAnsi="Times New Roman" w:cs="Times New Roman"/>
          <w:bCs/>
        </w:rPr>
        <w:t xml:space="preserve"> FAA and the U.S. Space Force e</w:t>
      </w:r>
      <w:r w:rsidR="000E15FE" w:rsidRPr="0010176D">
        <w:rPr>
          <w:rFonts w:ascii="Times New Roman" w:hAnsi="Times New Roman" w:cs="Times New Roman"/>
          <w:bCs/>
        </w:rPr>
        <w:t>nabled companies to act more autonomously</w:t>
      </w:r>
      <w:r w:rsidR="003E55B9" w:rsidRPr="0010176D">
        <w:rPr>
          <w:rFonts w:ascii="Times New Roman" w:hAnsi="Times New Roman" w:cs="Times New Roman"/>
          <w:bCs/>
        </w:rPr>
        <w:t xml:space="preserve"> and </w:t>
      </w:r>
      <w:r w:rsidR="000E15FE" w:rsidRPr="0010176D">
        <w:rPr>
          <w:rFonts w:ascii="Times New Roman" w:hAnsi="Times New Roman" w:cs="Times New Roman"/>
          <w:bCs/>
        </w:rPr>
        <w:t>empowered the commercial sector to take risks and try nontraditional ideas</w:t>
      </w:r>
      <w:r w:rsidR="003E55B9" w:rsidRPr="0010176D">
        <w:rPr>
          <w:rFonts w:ascii="Times New Roman" w:hAnsi="Times New Roman" w:cs="Times New Roman"/>
          <w:bCs/>
        </w:rPr>
        <w:t>.</w:t>
      </w:r>
      <w:r w:rsidR="0075374C" w:rsidRPr="0010176D">
        <w:rPr>
          <w:rStyle w:val="FootnoteReference"/>
          <w:rFonts w:ascii="Times New Roman" w:hAnsi="Times New Roman" w:cs="Times New Roman"/>
          <w:bCs/>
        </w:rPr>
        <w:footnoteReference w:id="46"/>
      </w:r>
      <w:r w:rsidR="00DB164E" w:rsidRPr="0010176D">
        <w:rPr>
          <w:rFonts w:ascii="Times New Roman" w:hAnsi="Times New Roman" w:cs="Times New Roman"/>
          <w:bCs/>
        </w:rPr>
        <w:t xml:space="preserve"> </w:t>
      </w:r>
      <w:r w:rsidR="00400AD4" w:rsidRPr="0010176D">
        <w:rPr>
          <w:rFonts w:ascii="Times New Roman" w:hAnsi="Times New Roman" w:cs="Times New Roman"/>
          <w:bCs/>
        </w:rPr>
        <w:t>But Part 450 has  not been fully well-</w:t>
      </w:r>
      <w:r w:rsidR="0077312C" w:rsidRPr="0010176D">
        <w:rPr>
          <w:rFonts w:ascii="Times New Roman" w:hAnsi="Times New Roman" w:cs="Times New Roman"/>
          <w:bCs/>
        </w:rPr>
        <w:t>received</w:t>
      </w:r>
      <w:r w:rsidR="00400AD4" w:rsidRPr="0010176D">
        <w:rPr>
          <w:rFonts w:ascii="Times New Roman" w:hAnsi="Times New Roman" w:cs="Times New Roman"/>
          <w:bCs/>
        </w:rPr>
        <w:t xml:space="preserve"> by industry</w:t>
      </w:r>
      <w:r w:rsidR="0077312C" w:rsidRPr="0010176D">
        <w:rPr>
          <w:rFonts w:ascii="Times New Roman" w:hAnsi="Times New Roman" w:cs="Times New Roman"/>
          <w:bCs/>
        </w:rPr>
        <w:t xml:space="preserve">, and </w:t>
      </w:r>
      <w:r w:rsidR="00341886" w:rsidRPr="0010176D">
        <w:rPr>
          <w:rFonts w:ascii="Times New Roman" w:hAnsi="Times New Roman" w:cs="Times New Roman"/>
          <w:bCs/>
        </w:rPr>
        <w:t xml:space="preserve">further modifications are likely needed to </w:t>
      </w:r>
      <w:r w:rsidR="00732D58" w:rsidRPr="0010176D">
        <w:rPr>
          <w:rFonts w:ascii="Times New Roman" w:hAnsi="Times New Roman" w:cs="Times New Roman"/>
          <w:bCs/>
        </w:rPr>
        <w:t>balance</w:t>
      </w:r>
      <w:r w:rsidR="002E5AA8" w:rsidRPr="0010176D">
        <w:rPr>
          <w:rFonts w:ascii="Times New Roman" w:hAnsi="Times New Roman" w:cs="Times New Roman"/>
          <w:bCs/>
        </w:rPr>
        <w:t xml:space="preserve"> the regulation’s impacts </w:t>
      </w:r>
      <w:r w:rsidR="00732D58" w:rsidRPr="0010176D">
        <w:rPr>
          <w:rFonts w:ascii="Times New Roman" w:hAnsi="Times New Roman" w:cs="Times New Roman"/>
          <w:bCs/>
        </w:rPr>
        <w:t xml:space="preserve">on industry </w:t>
      </w:r>
      <w:r w:rsidR="00AD1333" w:rsidRPr="0010176D">
        <w:rPr>
          <w:rFonts w:ascii="Times New Roman" w:hAnsi="Times New Roman" w:cs="Times New Roman"/>
          <w:bCs/>
        </w:rPr>
        <w:t>with</w:t>
      </w:r>
      <w:r w:rsidR="00732D58" w:rsidRPr="0010176D">
        <w:rPr>
          <w:rFonts w:ascii="Times New Roman" w:hAnsi="Times New Roman" w:cs="Times New Roman"/>
          <w:bCs/>
        </w:rPr>
        <w:t xml:space="preserve"> the</w:t>
      </w:r>
      <w:r w:rsidR="00AD1333" w:rsidRPr="0010176D">
        <w:rPr>
          <w:rFonts w:ascii="Times New Roman" w:hAnsi="Times New Roman" w:cs="Times New Roman"/>
          <w:bCs/>
        </w:rPr>
        <w:t xml:space="preserve"> stated</w:t>
      </w:r>
      <w:r w:rsidR="00732D58" w:rsidRPr="0010176D">
        <w:rPr>
          <w:rFonts w:ascii="Times New Roman" w:hAnsi="Times New Roman" w:cs="Times New Roman"/>
          <w:bCs/>
        </w:rPr>
        <w:t xml:space="preserve"> protections for safety</w:t>
      </w:r>
      <w:r w:rsidR="00AD1333" w:rsidRPr="0010176D">
        <w:rPr>
          <w:rFonts w:ascii="Times New Roman" w:hAnsi="Times New Roman" w:cs="Times New Roman"/>
          <w:bCs/>
        </w:rPr>
        <w:t xml:space="preserve"> and the environment.</w:t>
      </w:r>
      <w:r w:rsidR="00597852" w:rsidRPr="0010176D">
        <w:rPr>
          <w:rStyle w:val="FootnoteReference"/>
          <w:rFonts w:ascii="Times New Roman" w:hAnsi="Times New Roman" w:cs="Times New Roman"/>
          <w:bCs/>
        </w:rPr>
        <w:footnoteReference w:id="47"/>
      </w:r>
      <w:r w:rsidR="00AD1333" w:rsidRPr="0010176D">
        <w:rPr>
          <w:rFonts w:ascii="Times New Roman" w:hAnsi="Times New Roman" w:cs="Times New Roman"/>
          <w:bCs/>
        </w:rPr>
        <w:t xml:space="preserve"> </w:t>
      </w:r>
    </w:p>
    <w:p w14:paraId="4360541B" w14:textId="01D595AF" w:rsidR="00C62005"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4369BA" w:rsidRPr="0010176D">
        <w:rPr>
          <w:rFonts w:ascii="Times New Roman" w:hAnsi="Times New Roman" w:cs="Times New Roman"/>
          <w:bCs/>
        </w:rPr>
        <w:t xml:space="preserve">Within the U.S. Space Force, senior launch leaders </w:t>
      </w:r>
      <w:r w:rsidR="002554DA" w:rsidRPr="0010176D">
        <w:rPr>
          <w:rFonts w:ascii="Times New Roman" w:hAnsi="Times New Roman" w:cs="Times New Roman"/>
          <w:bCs/>
        </w:rPr>
        <w:t xml:space="preserve">empowered employees by removing structural and procedural barriers that historically stifled initiative and coordination. One </w:t>
      </w:r>
      <w:r w:rsidR="000973DB" w:rsidRPr="0010176D">
        <w:rPr>
          <w:rFonts w:ascii="Times New Roman" w:hAnsi="Times New Roman" w:cs="Times New Roman"/>
          <w:bCs/>
        </w:rPr>
        <w:t xml:space="preserve">particular </w:t>
      </w:r>
      <w:r w:rsidR="004369BA" w:rsidRPr="0010176D">
        <w:rPr>
          <w:rFonts w:ascii="Times New Roman" w:hAnsi="Times New Roman" w:cs="Times New Roman"/>
          <w:bCs/>
        </w:rPr>
        <w:t xml:space="preserve">example </w:t>
      </w:r>
      <w:r w:rsidR="000973DB" w:rsidRPr="0010176D">
        <w:rPr>
          <w:rFonts w:ascii="Times New Roman" w:hAnsi="Times New Roman" w:cs="Times New Roman"/>
          <w:bCs/>
        </w:rPr>
        <w:t>was</w:t>
      </w:r>
      <w:r w:rsidR="002554DA" w:rsidRPr="0010176D">
        <w:rPr>
          <w:rFonts w:ascii="Times New Roman" w:hAnsi="Times New Roman" w:cs="Times New Roman"/>
          <w:bCs/>
        </w:rPr>
        <w:t xml:space="preserve"> to eliminate "briefing the general" style meetings, replacing them with a requirement for active discussion and debate </w:t>
      </w:r>
      <w:r w:rsidR="000973DB" w:rsidRPr="0010176D">
        <w:rPr>
          <w:rFonts w:ascii="Times New Roman" w:hAnsi="Times New Roman" w:cs="Times New Roman"/>
          <w:bCs/>
        </w:rPr>
        <w:t xml:space="preserve">to </w:t>
      </w:r>
      <w:r w:rsidR="00BD5E28" w:rsidRPr="0010176D">
        <w:rPr>
          <w:rFonts w:ascii="Times New Roman" w:hAnsi="Times New Roman" w:cs="Times New Roman"/>
          <w:bCs/>
        </w:rPr>
        <w:t xml:space="preserve">engage on </w:t>
      </w:r>
      <w:r w:rsidR="002554DA" w:rsidRPr="0010176D">
        <w:rPr>
          <w:rFonts w:ascii="Times New Roman" w:hAnsi="Times New Roman" w:cs="Times New Roman"/>
          <w:bCs/>
        </w:rPr>
        <w:t>problem</w:t>
      </w:r>
      <w:r w:rsidR="00BD5E28" w:rsidRPr="0010176D">
        <w:rPr>
          <w:rFonts w:ascii="Times New Roman" w:hAnsi="Times New Roman" w:cs="Times New Roman"/>
          <w:bCs/>
        </w:rPr>
        <w:t xml:space="preserve"> solving</w:t>
      </w:r>
      <w:r w:rsidR="002554DA" w:rsidRPr="0010176D">
        <w:rPr>
          <w:rFonts w:ascii="Times New Roman" w:hAnsi="Times New Roman" w:cs="Times New Roman"/>
          <w:bCs/>
        </w:rPr>
        <w:t xml:space="preserve"> rather than just receiving information</w:t>
      </w:r>
      <w:r w:rsidR="00BD5E28" w:rsidRPr="0010176D">
        <w:rPr>
          <w:rFonts w:ascii="Times New Roman" w:hAnsi="Times New Roman" w:cs="Times New Roman"/>
          <w:bCs/>
        </w:rPr>
        <w:t>.</w:t>
      </w:r>
      <w:r w:rsidR="00801401" w:rsidRPr="0010176D">
        <w:rPr>
          <w:rStyle w:val="FootnoteReference"/>
          <w:rFonts w:ascii="Times New Roman" w:hAnsi="Times New Roman" w:cs="Times New Roman"/>
          <w:bCs/>
        </w:rPr>
        <w:footnoteReference w:id="48"/>
      </w:r>
      <w:r w:rsidR="00BD5E28" w:rsidRPr="0010176D">
        <w:rPr>
          <w:rFonts w:ascii="Times New Roman" w:hAnsi="Times New Roman" w:cs="Times New Roman"/>
          <w:bCs/>
        </w:rPr>
        <w:t xml:space="preserve"> </w:t>
      </w:r>
      <w:r w:rsidR="00C62005" w:rsidRPr="0010176D">
        <w:rPr>
          <w:rFonts w:ascii="Times New Roman" w:hAnsi="Times New Roman" w:cs="Times New Roman"/>
          <w:bCs/>
        </w:rPr>
        <w:t>Another</w:t>
      </w:r>
      <w:r w:rsidR="00801401" w:rsidRPr="0010176D">
        <w:rPr>
          <w:rFonts w:ascii="Times New Roman" w:hAnsi="Times New Roman" w:cs="Times New Roman"/>
          <w:bCs/>
        </w:rPr>
        <w:t xml:space="preserve"> leader</w:t>
      </w:r>
      <w:r w:rsidR="00C62005" w:rsidRPr="0010176D">
        <w:rPr>
          <w:rFonts w:ascii="Times New Roman" w:hAnsi="Times New Roman" w:cs="Times New Roman"/>
          <w:bCs/>
        </w:rPr>
        <w:t xml:space="preserve"> emphasized the leader’s role of </w:t>
      </w:r>
      <w:r w:rsidR="00801401" w:rsidRPr="0010176D">
        <w:rPr>
          <w:rFonts w:ascii="Times New Roman" w:hAnsi="Times New Roman" w:cs="Times New Roman"/>
          <w:bCs/>
        </w:rPr>
        <w:t>acting as the safety net rather than the micromanager</w:t>
      </w:r>
      <w:r w:rsidR="00C62005" w:rsidRPr="0010176D">
        <w:rPr>
          <w:rFonts w:ascii="Times New Roman" w:hAnsi="Times New Roman" w:cs="Times New Roman"/>
          <w:bCs/>
        </w:rPr>
        <w:t>, empowering employees for action within their span of control while monitoring and resolving strategic obstacles.</w:t>
      </w:r>
      <w:r w:rsidR="00C62005" w:rsidRPr="0010176D">
        <w:rPr>
          <w:rStyle w:val="FootnoteReference"/>
          <w:rFonts w:ascii="Times New Roman" w:hAnsi="Times New Roman" w:cs="Times New Roman"/>
          <w:bCs/>
        </w:rPr>
        <w:footnoteReference w:id="49"/>
      </w:r>
      <w:r w:rsidR="00C62005" w:rsidRPr="0010176D">
        <w:rPr>
          <w:rFonts w:ascii="Times New Roman" w:hAnsi="Times New Roman" w:cs="Times New Roman"/>
          <w:bCs/>
        </w:rPr>
        <w:t xml:space="preserve"> Furthermore, to </w:t>
      </w:r>
      <w:r w:rsidR="002554DA" w:rsidRPr="0010176D">
        <w:rPr>
          <w:rFonts w:ascii="Times New Roman" w:hAnsi="Times New Roman" w:cs="Times New Roman"/>
          <w:bCs/>
        </w:rPr>
        <w:t xml:space="preserve">sustain this change, </w:t>
      </w:r>
      <w:r w:rsidR="00C62005" w:rsidRPr="0010176D">
        <w:rPr>
          <w:rFonts w:ascii="Times New Roman" w:hAnsi="Times New Roman" w:cs="Times New Roman"/>
          <w:bCs/>
        </w:rPr>
        <w:t xml:space="preserve">a Space Force launch leader </w:t>
      </w:r>
      <w:r w:rsidR="002554DA" w:rsidRPr="0010176D">
        <w:rPr>
          <w:rFonts w:ascii="Times New Roman" w:hAnsi="Times New Roman" w:cs="Times New Roman"/>
          <w:bCs/>
        </w:rPr>
        <w:t xml:space="preserve">established an atmosphere of psychological safety by explicitly telling </w:t>
      </w:r>
      <w:r w:rsidR="00C62005" w:rsidRPr="0010176D">
        <w:rPr>
          <w:rFonts w:ascii="Times New Roman" w:hAnsi="Times New Roman" w:cs="Times New Roman"/>
          <w:bCs/>
        </w:rPr>
        <w:t xml:space="preserve">the </w:t>
      </w:r>
      <w:r w:rsidR="002554DA" w:rsidRPr="0010176D">
        <w:rPr>
          <w:rFonts w:ascii="Times New Roman" w:hAnsi="Times New Roman" w:cs="Times New Roman"/>
          <w:bCs/>
        </w:rPr>
        <w:t>team that "making</w:t>
      </w:r>
      <w:r w:rsidR="00C62005" w:rsidRPr="0010176D">
        <w:rPr>
          <w:rFonts w:ascii="Times New Roman" w:hAnsi="Times New Roman" w:cs="Times New Roman"/>
          <w:bCs/>
        </w:rPr>
        <w:t xml:space="preserve"> honest</w:t>
      </w:r>
      <w:r w:rsidR="002554DA" w:rsidRPr="0010176D">
        <w:rPr>
          <w:rFonts w:ascii="Times New Roman" w:hAnsi="Times New Roman" w:cs="Times New Roman"/>
          <w:bCs/>
        </w:rPr>
        <w:t xml:space="preserve"> mistakes" was acceptable</w:t>
      </w:r>
      <w:r w:rsidR="00C62005" w:rsidRPr="0010176D">
        <w:rPr>
          <w:rFonts w:ascii="Times New Roman" w:hAnsi="Times New Roman" w:cs="Times New Roman"/>
          <w:bCs/>
        </w:rPr>
        <w:t>.</w:t>
      </w:r>
      <w:r w:rsidR="00C62005" w:rsidRPr="0010176D">
        <w:rPr>
          <w:rStyle w:val="FootnoteReference"/>
          <w:rFonts w:ascii="Times New Roman" w:hAnsi="Times New Roman" w:cs="Times New Roman"/>
          <w:bCs/>
        </w:rPr>
        <w:footnoteReference w:id="50"/>
      </w:r>
      <w:r w:rsidR="00C62005" w:rsidRPr="0010176D">
        <w:rPr>
          <w:rFonts w:ascii="Times New Roman" w:hAnsi="Times New Roman" w:cs="Times New Roman"/>
          <w:bCs/>
        </w:rPr>
        <w:t xml:space="preserve"> These approaches align with Kotter’s fifth step of change leadership, which advocates for empowering broad-based action by removing obstacles and encouraging non-traditional activities.</w:t>
      </w:r>
      <w:r w:rsidR="00C62005" w:rsidRPr="0010176D">
        <w:rPr>
          <w:rStyle w:val="FootnoteReference"/>
          <w:rFonts w:ascii="Times New Roman" w:hAnsi="Times New Roman" w:cs="Times New Roman"/>
          <w:bCs/>
        </w:rPr>
        <w:footnoteReference w:id="51"/>
      </w:r>
      <w:r w:rsidR="00C62005" w:rsidRPr="0010176D">
        <w:rPr>
          <w:rFonts w:ascii="Times New Roman" w:hAnsi="Times New Roman" w:cs="Times New Roman"/>
          <w:bCs/>
        </w:rPr>
        <w:t xml:space="preserve"> When employees feel safe and are given the authority to implement change with their own ideas, the team becomes energized and produces lasting results that a top-down bureaucracy often struggles to achieve. </w:t>
      </w:r>
    </w:p>
    <w:p w14:paraId="27DBEB27" w14:textId="086A6D8A" w:rsidR="001E3B13"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1E3B13" w:rsidRPr="0010176D">
        <w:rPr>
          <w:rFonts w:ascii="Times New Roman" w:hAnsi="Times New Roman" w:cs="Times New Roman"/>
          <w:bCs/>
        </w:rPr>
        <w:t xml:space="preserve">A key counterpoint from industry </w:t>
      </w:r>
      <w:r w:rsidR="00506B9A" w:rsidRPr="0010176D">
        <w:rPr>
          <w:rFonts w:ascii="Times New Roman" w:hAnsi="Times New Roman" w:cs="Times New Roman"/>
          <w:bCs/>
        </w:rPr>
        <w:t xml:space="preserve">is </w:t>
      </w:r>
      <w:r w:rsidR="000426CF">
        <w:rPr>
          <w:rFonts w:ascii="Times New Roman" w:hAnsi="Times New Roman" w:cs="Times New Roman"/>
          <w:bCs/>
        </w:rPr>
        <w:t xml:space="preserve">that </w:t>
      </w:r>
      <w:r w:rsidR="00506B9A" w:rsidRPr="0010176D">
        <w:rPr>
          <w:rFonts w:ascii="Times New Roman" w:hAnsi="Times New Roman" w:cs="Times New Roman"/>
          <w:bCs/>
        </w:rPr>
        <w:t xml:space="preserve">the government often takes too long to make </w:t>
      </w:r>
      <w:r w:rsidR="00506B9A" w:rsidRPr="0010176D">
        <w:rPr>
          <w:rFonts w:ascii="Times New Roman" w:hAnsi="Times New Roman" w:cs="Times New Roman"/>
          <w:bCs/>
        </w:rPr>
        <w:lastRenderedPageBreak/>
        <w:t xml:space="preserve">decisions because of a failure by consensus. </w:t>
      </w:r>
      <w:r w:rsidR="000426CF" w:rsidRPr="0010176D">
        <w:rPr>
          <w:rFonts w:ascii="Times New Roman" w:hAnsi="Times New Roman" w:cs="Times New Roman"/>
          <w:bCs/>
        </w:rPr>
        <w:t>As a result</w:t>
      </w:r>
      <w:r w:rsidR="000A7033" w:rsidRPr="0010176D">
        <w:rPr>
          <w:rFonts w:ascii="Times New Roman" w:hAnsi="Times New Roman" w:cs="Times New Roman"/>
          <w:bCs/>
        </w:rPr>
        <w:t xml:space="preserve"> of high</w:t>
      </w:r>
      <w:r w:rsidR="000426CF">
        <w:rPr>
          <w:rFonts w:ascii="Times New Roman" w:hAnsi="Times New Roman" w:cs="Times New Roman"/>
          <w:bCs/>
        </w:rPr>
        <w:t>-</w:t>
      </w:r>
      <w:r w:rsidR="000A7033" w:rsidRPr="0010176D">
        <w:rPr>
          <w:rFonts w:ascii="Times New Roman" w:hAnsi="Times New Roman" w:cs="Times New Roman"/>
          <w:bCs/>
        </w:rPr>
        <w:t xml:space="preserve">profile launch failures where opinions </w:t>
      </w:r>
      <w:r w:rsidR="004011EC">
        <w:rPr>
          <w:rFonts w:ascii="Times New Roman" w:hAnsi="Times New Roman" w:cs="Times New Roman"/>
          <w:bCs/>
        </w:rPr>
        <w:t>and opposing</w:t>
      </w:r>
      <w:r w:rsidR="000A7033" w:rsidRPr="0010176D">
        <w:rPr>
          <w:rFonts w:ascii="Times New Roman" w:hAnsi="Times New Roman" w:cs="Times New Roman"/>
          <w:bCs/>
        </w:rPr>
        <w:t xml:space="preserve"> viewpoints were muted, t</w:t>
      </w:r>
      <w:r w:rsidR="00124318" w:rsidRPr="0010176D">
        <w:rPr>
          <w:rFonts w:ascii="Times New Roman" w:hAnsi="Times New Roman" w:cs="Times New Roman"/>
          <w:bCs/>
        </w:rPr>
        <w:t>he launch community has a strong preference for soliciting input from every stakeholder</w:t>
      </w:r>
      <w:r w:rsidR="000A7033" w:rsidRPr="0010176D">
        <w:rPr>
          <w:rFonts w:ascii="Times New Roman" w:hAnsi="Times New Roman" w:cs="Times New Roman"/>
          <w:bCs/>
        </w:rPr>
        <w:t xml:space="preserve">. This can result in decisions that are made by consensus, and if one person rejects </w:t>
      </w:r>
      <w:r w:rsidR="003338E4" w:rsidRPr="0010176D">
        <w:rPr>
          <w:rFonts w:ascii="Times New Roman" w:hAnsi="Times New Roman" w:cs="Times New Roman"/>
          <w:bCs/>
        </w:rPr>
        <w:t>a proposal, the decision stalls.</w:t>
      </w:r>
      <w:r w:rsidR="00445C69" w:rsidRPr="0010176D">
        <w:rPr>
          <w:rStyle w:val="FootnoteReference"/>
          <w:rFonts w:ascii="Times New Roman" w:hAnsi="Times New Roman" w:cs="Times New Roman"/>
          <w:bCs/>
        </w:rPr>
        <w:footnoteReference w:id="52"/>
      </w:r>
      <w:r w:rsidR="003338E4" w:rsidRPr="0010176D">
        <w:rPr>
          <w:rFonts w:ascii="Times New Roman" w:hAnsi="Times New Roman" w:cs="Times New Roman"/>
          <w:bCs/>
        </w:rPr>
        <w:t xml:space="preserve"> </w:t>
      </w:r>
      <w:r w:rsidR="00CF4255" w:rsidRPr="0010176D">
        <w:rPr>
          <w:rFonts w:ascii="Times New Roman" w:hAnsi="Times New Roman" w:cs="Times New Roman"/>
          <w:bCs/>
        </w:rPr>
        <w:t xml:space="preserve">Leaders in the space industry need to be able to understand when consensus is necessary and when to make a top-down </w:t>
      </w:r>
      <w:r w:rsidR="00C97304" w:rsidRPr="0010176D">
        <w:rPr>
          <w:rFonts w:ascii="Times New Roman" w:hAnsi="Times New Roman" w:cs="Times New Roman"/>
          <w:bCs/>
        </w:rPr>
        <w:t>decision</w:t>
      </w:r>
      <w:r w:rsidR="00CF4255" w:rsidRPr="0010176D">
        <w:rPr>
          <w:rFonts w:ascii="Times New Roman" w:hAnsi="Times New Roman" w:cs="Times New Roman"/>
          <w:bCs/>
        </w:rPr>
        <w:t>. This requires leaders who are able and willing to operate outside of established comfort zones</w:t>
      </w:r>
      <w:r w:rsidR="00C97304" w:rsidRPr="0010176D">
        <w:rPr>
          <w:rFonts w:ascii="Times New Roman" w:hAnsi="Times New Roman" w:cs="Times New Roman"/>
          <w:bCs/>
        </w:rPr>
        <w:t xml:space="preserve">, and this requires leaders who will make tough </w:t>
      </w:r>
      <w:r w:rsidR="001A49EE" w:rsidRPr="0010176D">
        <w:rPr>
          <w:rFonts w:ascii="Times New Roman" w:hAnsi="Times New Roman" w:cs="Times New Roman"/>
          <w:bCs/>
        </w:rPr>
        <w:t xml:space="preserve">decisions in the face of dissenting opinions. Failure by consensus cannot be allowed to rule. </w:t>
      </w:r>
    </w:p>
    <w:p w14:paraId="3DB9FC2C" w14:textId="07583D25" w:rsidR="00AC1F37" w:rsidRPr="0010176D" w:rsidRDefault="002554DA" w:rsidP="00350E78">
      <w:pPr>
        <w:widowControl w:val="0"/>
        <w:tabs>
          <w:tab w:val="left" w:pos="270"/>
        </w:tabs>
        <w:autoSpaceDE w:val="0"/>
        <w:autoSpaceDN w:val="0"/>
        <w:spacing w:after="0" w:line="480" w:lineRule="auto"/>
        <w:rPr>
          <w:rFonts w:ascii="Times New Roman" w:hAnsi="Times New Roman" w:cs="Times New Roman"/>
          <w:bCs/>
        </w:rPr>
      </w:pPr>
      <w:r w:rsidRPr="0010176D">
        <w:rPr>
          <w:rFonts w:ascii="Times New Roman" w:hAnsi="Times New Roman" w:cs="Times New Roman"/>
          <w:bCs/>
        </w:rPr>
        <w:t xml:space="preserve"> </w:t>
      </w:r>
    </w:p>
    <w:p w14:paraId="19B52F01" w14:textId="54D8EA36" w:rsidR="00631009" w:rsidRPr="0010176D" w:rsidRDefault="00AB2172" w:rsidP="00350E78">
      <w:pPr>
        <w:widowControl w:val="0"/>
        <w:tabs>
          <w:tab w:val="left" w:pos="270"/>
        </w:tabs>
        <w:autoSpaceDE w:val="0"/>
        <w:autoSpaceDN w:val="0"/>
        <w:spacing w:after="0" w:line="480" w:lineRule="auto"/>
        <w:rPr>
          <w:rFonts w:ascii="Times New Roman" w:hAnsi="Times New Roman" w:cs="Times New Roman"/>
          <w:b/>
          <w:bCs/>
        </w:rPr>
      </w:pPr>
      <w:r w:rsidRPr="0010176D">
        <w:rPr>
          <w:rFonts w:ascii="Times New Roman" w:hAnsi="Times New Roman" w:cs="Times New Roman"/>
          <w:b/>
          <w:bCs/>
        </w:rPr>
        <w:t xml:space="preserve">Step </w:t>
      </w:r>
      <w:r w:rsidR="00631009" w:rsidRPr="0010176D">
        <w:rPr>
          <w:rFonts w:ascii="Times New Roman" w:hAnsi="Times New Roman" w:cs="Times New Roman"/>
          <w:b/>
          <w:bCs/>
        </w:rPr>
        <w:t>6. Generating Short-Term Wins</w:t>
      </w:r>
    </w:p>
    <w:p w14:paraId="56D8FA06" w14:textId="3EEE536A" w:rsidR="00631009"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631009" w:rsidRPr="0010176D">
        <w:rPr>
          <w:rFonts w:ascii="Times New Roman" w:hAnsi="Times New Roman" w:cs="Times New Roman"/>
          <w:bCs/>
        </w:rPr>
        <w:t xml:space="preserve">Nothing </w:t>
      </w:r>
      <w:r w:rsidR="00C62005" w:rsidRPr="0010176D">
        <w:rPr>
          <w:rFonts w:ascii="Times New Roman" w:hAnsi="Times New Roman" w:cs="Times New Roman"/>
          <w:bCs/>
        </w:rPr>
        <w:t>generates</w:t>
      </w:r>
      <w:r w:rsidR="00631009" w:rsidRPr="0010176D">
        <w:rPr>
          <w:rFonts w:ascii="Times New Roman" w:hAnsi="Times New Roman" w:cs="Times New Roman"/>
          <w:bCs/>
        </w:rPr>
        <w:t xml:space="preserve"> success like success. The </w:t>
      </w:r>
      <w:r w:rsidR="00C62005" w:rsidRPr="0010176D">
        <w:rPr>
          <w:rFonts w:ascii="Times New Roman" w:hAnsi="Times New Roman" w:cs="Times New Roman"/>
          <w:bCs/>
        </w:rPr>
        <w:t xml:space="preserve">launch community continually achieved </w:t>
      </w:r>
      <w:r w:rsidR="00631009" w:rsidRPr="0010176D">
        <w:rPr>
          <w:rFonts w:ascii="Times New Roman" w:hAnsi="Times New Roman" w:cs="Times New Roman"/>
          <w:bCs/>
        </w:rPr>
        <w:t xml:space="preserve">short-term wins by </w:t>
      </w:r>
      <w:r w:rsidR="00C62005" w:rsidRPr="0010176D">
        <w:rPr>
          <w:rFonts w:ascii="Times New Roman" w:hAnsi="Times New Roman" w:cs="Times New Roman"/>
          <w:bCs/>
        </w:rPr>
        <w:t xml:space="preserve">having </w:t>
      </w:r>
      <w:r w:rsidR="00631009" w:rsidRPr="0010176D">
        <w:rPr>
          <w:rFonts w:ascii="Times New Roman" w:hAnsi="Times New Roman" w:cs="Times New Roman"/>
          <w:bCs/>
        </w:rPr>
        <w:t xml:space="preserve">record-breaking launch years, </w:t>
      </w:r>
      <w:r w:rsidR="00C62005" w:rsidRPr="0010176D">
        <w:rPr>
          <w:rFonts w:ascii="Times New Roman" w:hAnsi="Times New Roman" w:cs="Times New Roman"/>
          <w:bCs/>
        </w:rPr>
        <w:t>with each new year breaking the previous year’s record of the</w:t>
      </w:r>
      <w:r w:rsidR="00631009" w:rsidRPr="0010176D">
        <w:rPr>
          <w:rFonts w:ascii="Times New Roman" w:hAnsi="Times New Roman" w:cs="Times New Roman"/>
          <w:bCs/>
        </w:rPr>
        <w:t xml:space="preserve"> highest activity </w:t>
      </w:r>
      <w:r w:rsidR="00C62005" w:rsidRPr="0010176D">
        <w:rPr>
          <w:rFonts w:ascii="Times New Roman" w:hAnsi="Times New Roman" w:cs="Times New Roman"/>
          <w:bCs/>
        </w:rPr>
        <w:t xml:space="preserve">of launches in </w:t>
      </w:r>
      <w:r w:rsidR="00631009" w:rsidRPr="0010176D">
        <w:rPr>
          <w:rFonts w:ascii="Times New Roman" w:hAnsi="Times New Roman" w:cs="Times New Roman"/>
          <w:bCs/>
        </w:rPr>
        <w:t>U.S. history</w:t>
      </w:r>
      <w:r w:rsidR="00C62005" w:rsidRPr="0010176D">
        <w:rPr>
          <w:rFonts w:ascii="Times New Roman" w:hAnsi="Times New Roman" w:cs="Times New Roman"/>
          <w:bCs/>
        </w:rPr>
        <w:t>.  For the U.S. Space Force, t</w:t>
      </w:r>
      <w:r w:rsidR="00631009" w:rsidRPr="0010176D">
        <w:rPr>
          <w:rFonts w:ascii="Times New Roman" w:hAnsi="Times New Roman" w:cs="Times New Roman"/>
          <w:bCs/>
        </w:rPr>
        <w:t xml:space="preserve">hese unambiguous wins provided the credibility needed to sustain the long-term transformation. </w:t>
      </w:r>
      <w:r w:rsidR="00C62005" w:rsidRPr="0010176D">
        <w:rPr>
          <w:rFonts w:ascii="Times New Roman" w:hAnsi="Times New Roman" w:cs="Times New Roman"/>
          <w:bCs/>
        </w:rPr>
        <w:t>In some ways, e</w:t>
      </w:r>
      <w:r w:rsidR="00631009" w:rsidRPr="0010176D">
        <w:rPr>
          <w:rFonts w:ascii="Times New Roman" w:hAnsi="Times New Roman" w:cs="Times New Roman"/>
          <w:bCs/>
        </w:rPr>
        <w:t xml:space="preserve">very successful commercial launch from a federal range served as proof that the facilitator </w:t>
      </w:r>
      <w:r w:rsidR="00C62005" w:rsidRPr="0010176D">
        <w:rPr>
          <w:rFonts w:ascii="Times New Roman" w:hAnsi="Times New Roman" w:cs="Times New Roman"/>
          <w:bCs/>
        </w:rPr>
        <w:t xml:space="preserve">spaceport </w:t>
      </w:r>
      <w:r w:rsidR="00631009" w:rsidRPr="0010176D">
        <w:rPr>
          <w:rFonts w:ascii="Times New Roman" w:hAnsi="Times New Roman" w:cs="Times New Roman"/>
          <w:bCs/>
        </w:rPr>
        <w:t xml:space="preserve">model worked, rewarding the coalition's efforts and </w:t>
      </w:r>
      <w:r w:rsidR="00C62005" w:rsidRPr="0010176D">
        <w:rPr>
          <w:rFonts w:ascii="Times New Roman" w:hAnsi="Times New Roman" w:cs="Times New Roman"/>
          <w:bCs/>
        </w:rPr>
        <w:t>minimizing</w:t>
      </w:r>
      <w:r w:rsidR="00631009" w:rsidRPr="0010176D">
        <w:rPr>
          <w:rFonts w:ascii="Times New Roman" w:hAnsi="Times New Roman" w:cs="Times New Roman"/>
          <w:bCs/>
        </w:rPr>
        <w:t xml:space="preserve"> </w:t>
      </w:r>
      <w:r w:rsidR="00C62005" w:rsidRPr="0010176D">
        <w:rPr>
          <w:rFonts w:ascii="Times New Roman" w:hAnsi="Times New Roman" w:cs="Times New Roman"/>
          <w:bCs/>
        </w:rPr>
        <w:t>resistance from those</w:t>
      </w:r>
      <w:r w:rsidR="00631009" w:rsidRPr="0010176D">
        <w:rPr>
          <w:rFonts w:ascii="Times New Roman" w:hAnsi="Times New Roman" w:cs="Times New Roman"/>
          <w:bCs/>
        </w:rPr>
        <w:t xml:space="preserve"> who </w:t>
      </w:r>
      <w:r w:rsidR="00C62005" w:rsidRPr="0010176D">
        <w:rPr>
          <w:rFonts w:ascii="Times New Roman" w:hAnsi="Times New Roman" w:cs="Times New Roman"/>
          <w:bCs/>
        </w:rPr>
        <w:t>were concerned</w:t>
      </w:r>
      <w:r w:rsidR="00631009" w:rsidRPr="0010176D">
        <w:rPr>
          <w:rFonts w:ascii="Times New Roman" w:hAnsi="Times New Roman" w:cs="Times New Roman"/>
          <w:bCs/>
        </w:rPr>
        <w:t xml:space="preserve"> that the government was losing control of the </w:t>
      </w:r>
      <w:r w:rsidR="00C62005" w:rsidRPr="0010176D">
        <w:rPr>
          <w:rFonts w:ascii="Times New Roman" w:hAnsi="Times New Roman" w:cs="Times New Roman"/>
          <w:bCs/>
        </w:rPr>
        <w:t xml:space="preserve">space launch to industry. </w:t>
      </w:r>
    </w:p>
    <w:p w14:paraId="0C11BC2C" w14:textId="7DEEE68C" w:rsidR="00C62005" w:rsidRPr="0010176D" w:rsidRDefault="00350E78"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C62005" w:rsidRPr="0010176D">
        <w:rPr>
          <w:rFonts w:ascii="Times New Roman" w:hAnsi="Times New Roman" w:cs="Times New Roman"/>
          <w:bCs/>
        </w:rPr>
        <w:t xml:space="preserve">The launch community generated wins in other ways, as well, and deliberately reflected on those wins throughout the transition. For the launch operations team, the previously mentioned "Race to 48" challenge was a </w:t>
      </w:r>
      <w:r w:rsidR="00C62005" w:rsidRPr="0010176D">
        <w:rPr>
          <w:rFonts w:ascii="Times New Roman" w:hAnsi="Times New Roman" w:cs="Times New Roman"/>
        </w:rPr>
        <w:t>near-term, visible target, and w</w:t>
      </w:r>
      <w:r w:rsidR="00C62005" w:rsidRPr="0010176D">
        <w:rPr>
          <w:rFonts w:ascii="Times New Roman" w:hAnsi="Times New Roman" w:cs="Times New Roman"/>
          <w:bCs/>
        </w:rPr>
        <w:t>hen achieved, proved that the team could handle a significantly higher launch cadence.</w:t>
      </w:r>
      <w:r w:rsidR="00D8156B" w:rsidRPr="0010176D">
        <w:rPr>
          <w:rStyle w:val="FootnoteReference"/>
          <w:rFonts w:ascii="Times New Roman" w:hAnsi="Times New Roman" w:cs="Times New Roman"/>
          <w:bCs/>
        </w:rPr>
        <w:footnoteReference w:id="53"/>
      </w:r>
      <w:r w:rsidR="00C62005" w:rsidRPr="0010176D">
        <w:rPr>
          <w:rFonts w:ascii="Times New Roman" w:hAnsi="Times New Roman" w:cs="Times New Roman"/>
          <w:bCs/>
        </w:rPr>
        <w:t xml:space="preserve"> For the launch acquisition and </w:t>
      </w:r>
      <w:r w:rsidR="00C62005" w:rsidRPr="0010176D">
        <w:rPr>
          <w:rFonts w:ascii="Times New Roman" w:hAnsi="Times New Roman" w:cs="Times New Roman"/>
          <w:bCs/>
        </w:rPr>
        <w:lastRenderedPageBreak/>
        <w:t>planning teams, after years of rejected funding requests, the U.S. Space Force secured $1.4 billion for infrastructure improvements. This achievement acted as a validation of the new strategy, proving that the unified "one leader, one voice" approach could deliver results on a massive scale. The safety community also experienced a critical operational win in their transformation from a “no because” to a "yes if" mindset.</w:t>
      </w:r>
      <w:r w:rsidR="00C62005" w:rsidRPr="0010176D">
        <w:rPr>
          <w:rStyle w:val="FootnoteReference"/>
          <w:rFonts w:ascii="Times New Roman" w:hAnsi="Times New Roman" w:cs="Times New Roman"/>
          <w:bCs/>
        </w:rPr>
        <w:footnoteReference w:id="54"/>
      </w:r>
      <w:r w:rsidR="00C62005" w:rsidRPr="0010176D">
        <w:rPr>
          <w:rFonts w:ascii="Times New Roman" w:hAnsi="Times New Roman" w:cs="Times New Roman"/>
          <w:bCs/>
        </w:rPr>
        <w:t xml:space="preserve"> This shift turned safety personnel into partners in the mission, leading to immediate improvements in how commercial partners operate</w:t>
      </w:r>
      <w:r w:rsidR="00D27D70">
        <w:rPr>
          <w:rFonts w:ascii="Times New Roman" w:hAnsi="Times New Roman" w:cs="Times New Roman"/>
          <w:bCs/>
        </w:rPr>
        <w:t>d</w:t>
      </w:r>
      <w:r w:rsidR="00C62005" w:rsidRPr="0010176D">
        <w:rPr>
          <w:rFonts w:ascii="Times New Roman" w:hAnsi="Times New Roman" w:cs="Times New Roman"/>
          <w:bCs/>
        </w:rPr>
        <w:t xml:space="preserve"> on the range without compromising range and public safety. Lastly</w:t>
      </w:r>
      <w:r w:rsidR="00D27D70">
        <w:rPr>
          <w:rFonts w:ascii="Times New Roman" w:hAnsi="Times New Roman" w:cs="Times New Roman"/>
          <w:bCs/>
        </w:rPr>
        <w:t>,</w:t>
      </w:r>
      <w:r w:rsidR="00C62005" w:rsidRPr="0010176D">
        <w:rPr>
          <w:rFonts w:ascii="Times New Roman" w:hAnsi="Times New Roman" w:cs="Times New Roman"/>
          <w:bCs/>
        </w:rPr>
        <w:t xml:space="preserve"> one key leader emphasized the importance of reflecting on progress every three to six months to show the team their accomplishments.</w:t>
      </w:r>
      <w:r w:rsidR="00C62005" w:rsidRPr="0010176D">
        <w:rPr>
          <w:rStyle w:val="FootnoteReference"/>
          <w:rFonts w:ascii="Times New Roman" w:hAnsi="Times New Roman" w:cs="Times New Roman"/>
          <w:bCs/>
        </w:rPr>
        <w:footnoteReference w:id="55"/>
      </w:r>
      <w:r w:rsidR="00C62005" w:rsidRPr="0010176D">
        <w:rPr>
          <w:rFonts w:ascii="Times New Roman" w:hAnsi="Times New Roman" w:cs="Times New Roman"/>
          <w:bCs/>
        </w:rPr>
        <w:t xml:space="preserve"> This practice of publicly recognizing performance improvements directly aligns with Kotter’s guidance to use wins to counter fatigue and reinforce the belief that the "long march" is producing results.</w:t>
      </w:r>
      <w:r w:rsidR="00C62005" w:rsidRPr="0010176D">
        <w:rPr>
          <w:rStyle w:val="FootnoteReference"/>
          <w:rFonts w:ascii="Times New Roman" w:hAnsi="Times New Roman" w:cs="Times New Roman"/>
          <w:bCs/>
        </w:rPr>
        <w:footnoteReference w:id="56"/>
      </w:r>
    </w:p>
    <w:p w14:paraId="346A7321" w14:textId="77777777" w:rsidR="00C62005" w:rsidRPr="0010176D" w:rsidRDefault="00C62005" w:rsidP="00350E78">
      <w:pPr>
        <w:widowControl w:val="0"/>
        <w:tabs>
          <w:tab w:val="left" w:pos="270"/>
        </w:tabs>
        <w:autoSpaceDE w:val="0"/>
        <w:autoSpaceDN w:val="0"/>
        <w:spacing w:after="0" w:line="480" w:lineRule="auto"/>
        <w:rPr>
          <w:rFonts w:ascii="Times New Roman" w:hAnsi="Times New Roman" w:cs="Times New Roman"/>
          <w:bCs/>
        </w:rPr>
      </w:pPr>
    </w:p>
    <w:p w14:paraId="5CFCAF04" w14:textId="745DC2FF" w:rsidR="00631009" w:rsidRPr="0010176D" w:rsidRDefault="00AB2172" w:rsidP="00350E78">
      <w:pPr>
        <w:widowControl w:val="0"/>
        <w:tabs>
          <w:tab w:val="left" w:pos="270"/>
        </w:tabs>
        <w:autoSpaceDE w:val="0"/>
        <w:autoSpaceDN w:val="0"/>
        <w:spacing w:after="0" w:line="480" w:lineRule="auto"/>
        <w:rPr>
          <w:rFonts w:ascii="Times New Roman" w:hAnsi="Times New Roman" w:cs="Times New Roman"/>
          <w:b/>
          <w:bCs/>
        </w:rPr>
      </w:pPr>
      <w:r w:rsidRPr="0010176D">
        <w:rPr>
          <w:rFonts w:ascii="Times New Roman" w:hAnsi="Times New Roman" w:cs="Times New Roman"/>
          <w:b/>
          <w:bCs/>
        </w:rPr>
        <w:t xml:space="preserve">Step </w:t>
      </w:r>
      <w:r w:rsidR="00631009" w:rsidRPr="0010176D">
        <w:rPr>
          <w:rFonts w:ascii="Times New Roman" w:hAnsi="Times New Roman" w:cs="Times New Roman"/>
          <w:b/>
          <w:bCs/>
        </w:rPr>
        <w:t>7. Consolidating Gains and Producing More Change</w:t>
      </w:r>
    </w:p>
    <w:p w14:paraId="483A103D" w14:textId="2EBB0869" w:rsidR="00A567B9" w:rsidRPr="0010176D" w:rsidRDefault="00E10B11"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631009" w:rsidRPr="0010176D">
        <w:rPr>
          <w:rFonts w:ascii="Times New Roman" w:hAnsi="Times New Roman" w:cs="Times New Roman"/>
          <w:bCs/>
        </w:rPr>
        <w:t>Instead of declaring victory too soon</w:t>
      </w:r>
      <w:r w:rsidR="00A567B9" w:rsidRPr="0010176D">
        <w:rPr>
          <w:rFonts w:ascii="Times New Roman" w:hAnsi="Times New Roman" w:cs="Times New Roman"/>
          <w:bCs/>
        </w:rPr>
        <w:t>—</w:t>
      </w:r>
      <w:r w:rsidR="00631009" w:rsidRPr="0010176D">
        <w:rPr>
          <w:rFonts w:ascii="Times New Roman" w:hAnsi="Times New Roman" w:cs="Times New Roman"/>
          <w:bCs/>
        </w:rPr>
        <w:t>a catastrophic error in Kotter’s framework</w:t>
      </w:r>
      <w:r w:rsidR="00C62005" w:rsidRPr="0010176D">
        <w:rPr>
          <w:rStyle w:val="FootnoteReference"/>
          <w:rFonts w:ascii="Times New Roman" w:hAnsi="Times New Roman" w:cs="Times New Roman"/>
          <w:bCs/>
        </w:rPr>
        <w:footnoteReference w:id="57"/>
      </w:r>
      <w:r w:rsidR="00631009" w:rsidRPr="0010176D">
        <w:rPr>
          <w:rFonts w:ascii="Times New Roman" w:hAnsi="Times New Roman" w:cs="Times New Roman"/>
          <w:bCs/>
        </w:rPr>
        <w:t xml:space="preserve">—the Space Force used early successes to </w:t>
      </w:r>
      <w:r w:rsidR="00C62005" w:rsidRPr="0010176D">
        <w:rPr>
          <w:rFonts w:ascii="Times New Roman" w:hAnsi="Times New Roman" w:cs="Times New Roman"/>
          <w:bCs/>
        </w:rPr>
        <w:t xml:space="preserve">institutionalize change and pivot to new </w:t>
      </w:r>
      <w:r w:rsidR="00631009" w:rsidRPr="0010176D">
        <w:rPr>
          <w:rFonts w:ascii="Times New Roman" w:hAnsi="Times New Roman" w:cs="Times New Roman"/>
          <w:bCs/>
        </w:rPr>
        <w:t xml:space="preserve">issues. </w:t>
      </w:r>
      <w:r w:rsidR="00C62005" w:rsidRPr="0010176D">
        <w:rPr>
          <w:rFonts w:ascii="Times New Roman" w:hAnsi="Times New Roman" w:cs="Times New Roman"/>
          <w:bCs/>
        </w:rPr>
        <w:t xml:space="preserve">The </w:t>
      </w:r>
      <w:r w:rsidR="00631009" w:rsidRPr="0010176D">
        <w:rPr>
          <w:rFonts w:ascii="Times New Roman" w:hAnsi="Times New Roman" w:cs="Times New Roman"/>
          <w:bCs/>
        </w:rPr>
        <w:t>"</w:t>
      </w:r>
      <w:r w:rsidR="00AF52F1">
        <w:rPr>
          <w:rFonts w:ascii="Times New Roman" w:hAnsi="Times New Roman" w:cs="Times New Roman"/>
          <w:bCs/>
        </w:rPr>
        <w:t>s</w:t>
      </w:r>
      <w:r w:rsidR="00C62005" w:rsidRPr="0010176D">
        <w:rPr>
          <w:rFonts w:ascii="Times New Roman" w:hAnsi="Times New Roman" w:cs="Times New Roman"/>
          <w:bCs/>
        </w:rPr>
        <w:t>paceport</w:t>
      </w:r>
      <w:r w:rsidR="00631009" w:rsidRPr="0010176D">
        <w:rPr>
          <w:rFonts w:ascii="Times New Roman" w:hAnsi="Times New Roman" w:cs="Times New Roman"/>
          <w:bCs/>
        </w:rPr>
        <w:t xml:space="preserve"> of the </w:t>
      </w:r>
      <w:r w:rsidR="00AF52F1">
        <w:rPr>
          <w:rFonts w:ascii="Times New Roman" w:hAnsi="Times New Roman" w:cs="Times New Roman"/>
          <w:bCs/>
        </w:rPr>
        <w:t>f</w:t>
      </w:r>
      <w:r w:rsidR="00631009" w:rsidRPr="0010176D">
        <w:rPr>
          <w:rFonts w:ascii="Times New Roman" w:hAnsi="Times New Roman" w:cs="Times New Roman"/>
          <w:bCs/>
        </w:rPr>
        <w:t xml:space="preserve">uture" initiative, </w:t>
      </w:r>
      <w:r w:rsidR="00C62005" w:rsidRPr="0010176D">
        <w:rPr>
          <w:rFonts w:ascii="Times New Roman" w:hAnsi="Times New Roman" w:cs="Times New Roman"/>
          <w:bCs/>
        </w:rPr>
        <w:t>the</w:t>
      </w:r>
      <w:r w:rsidR="00631009" w:rsidRPr="0010176D">
        <w:rPr>
          <w:rFonts w:ascii="Times New Roman" w:hAnsi="Times New Roman" w:cs="Times New Roman"/>
          <w:bCs/>
        </w:rPr>
        <w:t xml:space="preserve"> automated flight safety systems</w:t>
      </w:r>
      <w:r w:rsidR="00C62005" w:rsidRPr="0010176D">
        <w:rPr>
          <w:rFonts w:ascii="Times New Roman" w:hAnsi="Times New Roman" w:cs="Times New Roman"/>
          <w:bCs/>
        </w:rPr>
        <w:t xml:space="preserve"> upgrade, t</w:t>
      </w:r>
      <w:r w:rsidR="00A567B9" w:rsidRPr="0010176D">
        <w:rPr>
          <w:rFonts w:ascii="Times New Roman" w:hAnsi="Times New Roman" w:cs="Times New Roman"/>
          <w:bCs/>
        </w:rPr>
        <w:t xml:space="preserve">he </w:t>
      </w:r>
      <w:r w:rsidR="00C62005" w:rsidRPr="0010176D">
        <w:rPr>
          <w:rFonts w:ascii="Times New Roman" w:hAnsi="Times New Roman" w:cs="Times New Roman"/>
          <w:bCs/>
        </w:rPr>
        <w:t>focus on empowering teams to implement change at their level</w:t>
      </w:r>
      <w:r w:rsidR="00A567B9" w:rsidRPr="0010176D">
        <w:rPr>
          <w:rFonts w:ascii="Times New Roman" w:hAnsi="Times New Roman" w:cs="Times New Roman"/>
          <w:bCs/>
        </w:rPr>
        <w:t>, and many other wins</w:t>
      </w:r>
      <w:r w:rsidR="00C62005" w:rsidRPr="0010176D">
        <w:rPr>
          <w:rFonts w:ascii="Times New Roman" w:hAnsi="Times New Roman" w:cs="Times New Roman"/>
          <w:bCs/>
        </w:rPr>
        <w:t xml:space="preserve"> c</w:t>
      </w:r>
      <w:r w:rsidR="00A567B9" w:rsidRPr="0010176D">
        <w:rPr>
          <w:rFonts w:ascii="Times New Roman" w:hAnsi="Times New Roman" w:cs="Times New Roman"/>
          <w:bCs/>
        </w:rPr>
        <w:t>ollectively c</w:t>
      </w:r>
      <w:r w:rsidR="00C62005" w:rsidRPr="0010176D">
        <w:rPr>
          <w:rFonts w:ascii="Times New Roman" w:hAnsi="Times New Roman" w:cs="Times New Roman"/>
          <w:bCs/>
        </w:rPr>
        <w:t xml:space="preserve">ontributed to the </w:t>
      </w:r>
      <w:r w:rsidR="00A567B9" w:rsidRPr="0010176D">
        <w:rPr>
          <w:rFonts w:ascii="Times New Roman" w:hAnsi="Times New Roman" w:cs="Times New Roman"/>
          <w:bCs/>
        </w:rPr>
        <w:t xml:space="preserve">overarching vision and culture of the launch enterprise. As the launch community experienced </w:t>
      </w:r>
      <w:r w:rsidR="00735BBF" w:rsidRPr="0010176D">
        <w:rPr>
          <w:rFonts w:ascii="Times New Roman" w:hAnsi="Times New Roman" w:cs="Times New Roman"/>
          <w:bCs/>
        </w:rPr>
        <w:t xml:space="preserve">repeated </w:t>
      </w:r>
      <w:proofErr w:type="gramStart"/>
      <w:r w:rsidR="00A567B9" w:rsidRPr="0010176D">
        <w:rPr>
          <w:rFonts w:ascii="Times New Roman" w:hAnsi="Times New Roman" w:cs="Times New Roman"/>
          <w:bCs/>
        </w:rPr>
        <w:t>record-year</w:t>
      </w:r>
      <w:r w:rsidR="00735BBF" w:rsidRPr="0010176D">
        <w:rPr>
          <w:rFonts w:ascii="Times New Roman" w:hAnsi="Times New Roman" w:cs="Times New Roman"/>
          <w:bCs/>
        </w:rPr>
        <w:t>s</w:t>
      </w:r>
      <w:proofErr w:type="gramEnd"/>
      <w:r w:rsidR="00735BBF" w:rsidRPr="0010176D">
        <w:rPr>
          <w:rFonts w:ascii="Times New Roman" w:hAnsi="Times New Roman" w:cs="Times New Roman"/>
          <w:bCs/>
        </w:rPr>
        <w:t xml:space="preserve"> </w:t>
      </w:r>
      <w:r w:rsidR="00A567B9" w:rsidRPr="0010176D">
        <w:rPr>
          <w:rFonts w:ascii="Times New Roman" w:hAnsi="Times New Roman" w:cs="Times New Roman"/>
          <w:bCs/>
        </w:rPr>
        <w:t xml:space="preserve">of launch increases, every team gained </w:t>
      </w:r>
      <w:r w:rsidR="0011560B">
        <w:rPr>
          <w:rFonts w:ascii="Times New Roman" w:hAnsi="Times New Roman" w:cs="Times New Roman"/>
          <w:bCs/>
        </w:rPr>
        <w:t>confidence</w:t>
      </w:r>
      <w:r w:rsidR="00A567B9" w:rsidRPr="0010176D">
        <w:rPr>
          <w:rFonts w:ascii="Times New Roman" w:hAnsi="Times New Roman" w:cs="Times New Roman"/>
          <w:bCs/>
        </w:rPr>
        <w:t xml:space="preserve"> in their new processes </w:t>
      </w:r>
      <w:r w:rsidR="00F921C4" w:rsidRPr="0010176D">
        <w:rPr>
          <w:rFonts w:ascii="Times New Roman" w:hAnsi="Times New Roman" w:cs="Times New Roman"/>
          <w:bCs/>
        </w:rPr>
        <w:t xml:space="preserve">as a direct result of the </w:t>
      </w:r>
      <w:r w:rsidR="00A567B9" w:rsidRPr="0010176D">
        <w:rPr>
          <w:rFonts w:ascii="Times New Roman" w:hAnsi="Times New Roman" w:cs="Times New Roman"/>
          <w:bCs/>
        </w:rPr>
        <w:t xml:space="preserve">momentum of national security and commercial launch successes. By constantly reinvigorating the process with new projects, the U.S. Space </w:t>
      </w:r>
      <w:r w:rsidR="00A567B9" w:rsidRPr="0010176D">
        <w:rPr>
          <w:rFonts w:ascii="Times New Roman" w:hAnsi="Times New Roman" w:cs="Times New Roman"/>
          <w:bCs/>
        </w:rPr>
        <w:lastRenderedPageBreak/>
        <w:t>Force ensured that the transformation didn't stall after the first few</w:t>
      </w:r>
      <w:r w:rsidR="0064659B" w:rsidRPr="0010176D">
        <w:rPr>
          <w:rFonts w:ascii="Times New Roman" w:hAnsi="Times New Roman" w:cs="Times New Roman"/>
          <w:bCs/>
        </w:rPr>
        <w:t xml:space="preserve"> successes</w:t>
      </w:r>
      <w:r w:rsidR="00A567B9" w:rsidRPr="0010176D">
        <w:rPr>
          <w:rFonts w:ascii="Times New Roman" w:hAnsi="Times New Roman" w:cs="Times New Roman"/>
          <w:bCs/>
        </w:rPr>
        <w:t xml:space="preserve"> throughout the launch cadence increase.</w:t>
      </w:r>
    </w:p>
    <w:p w14:paraId="3A226620" w14:textId="3366A44F" w:rsidR="0064659B" w:rsidRPr="0010176D" w:rsidRDefault="00E10B11"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A567B9" w:rsidRPr="0010176D">
        <w:rPr>
          <w:rFonts w:ascii="Times New Roman" w:hAnsi="Times New Roman" w:cs="Times New Roman"/>
          <w:bCs/>
        </w:rPr>
        <w:t>To prepare for the next order of magnitude (1,000 launches), leadership</w:t>
      </w:r>
      <w:r w:rsidR="00B62D88" w:rsidRPr="0010176D">
        <w:rPr>
          <w:rFonts w:ascii="Times New Roman" w:hAnsi="Times New Roman" w:cs="Times New Roman"/>
          <w:bCs/>
        </w:rPr>
        <w:t xml:space="preserve"> across the entire space community</w:t>
      </w:r>
      <w:r w:rsidR="00A567B9" w:rsidRPr="0010176D">
        <w:rPr>
          <w:rFonts w:ascii="Times New Roman" w:hAnsi="Times New Roman" w:cs="Times New Roman"/>
          <w:bCs/>
        </w:rPr>
        <w:t xml:space="preserve"> </w:t>
      </w:r>
      <w:r w:rsidR="00B62D88" w:rsidRPr="0010176D">
        <w:rPr>
          <w:rFonts w:ascii="Times New Roman" w:hAnsi="Times New Roman" w:cs="Times New Roman"/>
          <w:bCs/>
        </w:rPr>
        <w:t>must push</w:t>
      </w:r>
      <w:r w:rsidR="00A567B9" w:rsidRPr="0010176D">
        <w:rPr>
          <w:rFonts w:ascii="Times New Roman" w:hAnsi="Times New Roman" w:cs="Times New Roman"/>
          <w:bCs/>
        </w:rPr>
        <w:t xml:space="preserve"> for</w:t>
      </w:r>
      <w:r w:rsidR="00B62D88" w:rsidRPr="0010176D">
        <w:rPr>
          <w:rFonts w:ascii="Times New Roman" w:hAnsi="Times New Roman" w:cs="Times New Roman"/>
          <w:bCs/>
        </w:rPr>
        <w:t xml:space="preserve"> further structural alignment, innovation, and partnership.  </w:t>
      </w:r>
      <w:r w:rsidR="0064659B" w:rsidRPr="0010176D">
        <w:rPr>
          <w:rFonts w:ascii="Times New Roman" w:hAnsi="Times New Roman" w:cs="Times New Roman"/>
          <w:bCs/>
        </w:rPr>
        <w:t>Kotter notes that leaders of successful efforts use the momentum of initial victories to go after systems and structures that do not fit the vision.</w:t>
      </w:r>
      <w:r w:rsidR="0064659B" w:rsidRPr="0010176D">
        <w:rPr>
          <w:rStyle w:val="FootnoteReference"/>
          <w:rFonts w:ascii="Times New Roman" w:hAnsi="Times New Roman" w:cs="Times New Roman"/>
          <w:bCs/>
        </w:rPr>
        <w:footnoteReference w:id="58"/>
      </w:r>
      <w:r w:rsidR="0064659B" w:rsidRPr="0010176D">
        <w:rPr>
          <w:rFonts w:ascii="Times New Roman" w:hAnsi="Times New Roman" w:cs="Times New Roman"/>
          <w:bCs/>
        </w:rPr>
        <w:t xml:space="preserve"> While consolidation under AATS improved the launch community’s ability to establish and implement an efficient integrated plan, there remains many areas for improvement. Spaceport of the future has funding, advocacy, and a plan, but needs to now execute the plan to transform into an agile, multi-user spaceport with modernized digital infrastructure. The U.S. Space Force needs to</w:t>
      </w:r>
      <w:r w:rsidR="00CE56A5" w:rsidRPr="0010176D">
        <w:rPr>
          <w:rFonts w:ascii="Times New Roman" w:hAnsi="Times New Roman" w:cs="Times New Roman"/>
          <w:bCs/>
        </w:rPr>
        <w:t xml:space="preserve"> </w:t>
      </w:r>
      <w:r w:rsidR="0064659B" w:rsidRPr="0010176D">
        <w:rPr>
          <w:rFonts w:ascii="Times New Roman" w:hAnsi="Times New Roman" w:cs="Times New Roman"/>
          <w:bCs/>
        </w:rPr>
        <w:t>further invest in resiliency within and across spaceports,</w:t>
      </w:r>
      <w:r w:rsidR="00CE56A5" w:rsidRPr="0010176D">
        <w:rPr>
          <w:rFonts w:ascii="Times New Roman" w:hAnsi="Times New Roman" w:cs="Times New Roman"/>
          <w:bCs/>
        </w:rPr>
        <w:t xml:space="preserve"> to establish and enforce common interface standards, and to </w:t>
      </w:r>
      <w:r w:rsidR="0064659B" w:rsidRPr="0010176D">
        <w:rPr>
          <w:rFonts w:ascii="Times New Roman" w:hAnsi="Times New Roman" w:cs="Times New Roman"/>
          <w:bCs/>
        </w:rPr>
        <w:t>advance the systems architecture and concepts of operations for tactically responsive launch systems</w:t>
      </w:r>
      <w:r w:rsidR="00CE56A5" w:rsidRPr="0010176D">
        <w:rPr>
          <w:rFonts w:ascii="Times New Roman" w:hAnsi="Times New Roman" w:cs="Times New Roman"/>
          <w:bCs/>
        </w:rPr>
        <w:t>, among many other opportunities</w:t>
      </w:r>
      <w:r w:rsidR="0064659B" w:rsidRPr="0010176D">
        <w:rPr>
          <w:rFonts w:ascii="Times New Roman" w:hAnsi="Times New Roman" w:cs="Times New Roman"/>
          <w:bCs/>
        </w:rPr>
        <w:t xml:space="preserve">. Lastly, industry continues to </w:t>
      </w:r>
      <w:r w:rsidR="00CE56A5" w:rsidRPr="0010176D">
        <w:rPr>
          <w:rFonts w:ascii="Times New Roman" w:hAnsi="Times New Roman" w:cs="Times New Roman"/>
          <w:bCs/>
        </w:rPr>
        <w:t>advocate for the combined FAA and Space Force team to implement faster change, citing</w:t>
      </w:r>
      <w:r w:rsidR="001771DA" w:rsidRPr="0010176D">
        <w:rPr>
          <w:rFonts w:ascii="Times New Roman" w:hAnsi="Times New Roman" w:cs="Times New Roman"/>
          <w:bCs/>
        </w:rPr>
        <w:t xml:space="preserve"> launch pad selection and allocation, safety and hazardous zone coordination, and regulatory alignment as key obstacles.</w:t>
      </w:r>
      <w:r w:rsidR="001771DA" w:rsidRPr="0010176D">
        <w:rPr>
          <w:rStyle w:val="FootnoteReference"/>
          <w:rFonts w:ascii="Times New Roman" w:hAnsi="Times New Roman" w:cs="Times New Roman"/>
          <w:bCs/>
        </w:rPr>
        <w:footnoteReference w:id="59"/>
      </w:r>
    </w:p>
    <w:p w14:paraId="081B7531" w14:textId="77777777" w:rsidR="0064659B" w:rsidRPr="0010176D" w:rsidRDefault="0064659B" w:rsidP="00350E78">
      <w:pPr>
        <w:widowControl w:val="0"/>
        <w:tabs>
          <w:tab w:val="left" w:pos="270"/>
        </w:tabs>
        <w:autoSpaceDE w:val="0"/>
        <w:autoSpaceDN w:val="0"/>
        <w:spacing w:after="0" w:line="480" w:lineRule="auto"/>
        <w:rPr>
          <w:rFonts w:ascii="Times New Roman" w:hAnsi="Times New Roman" w:cs="Times New Roman"/>
          <w:bCs/>
        </w:rPr>
      </w:pPr>
    </w:p>
    <w:p w14:paraId="0F1DF77D" w14:textId="4105A915" w:rsidR="00631009" w:rsidRPr="0010176D" w:rsidRDefault="00AB2172" w:rsidP="00350E78">
      <w:pPr>
        <w:widowControl w:val="0"/>
        <w:tabs>
          <w:tab w:val="left" w:pos="270"/>
        </w:tabs>
        <w:autoSpaceDE w:val="0"/>
        <w:autoSpaceDN w:val="0"/>
        <w:spacing w:after="0" w:line="480" w:lineRule="auto"/>
        <w:rPr>
          <w:rFonts w:ascii="Times New Roman" w:hAnsi="Times New Roman" w:cs="Times New Roman"/>
          <w:b/>
          <w:bCs/>
        </w:rPr>
      </w:pPr>
      <w:r w:rsidRPr="0010176D">
        <w:rPr>
          <w:rFonts w:ascii="Times New Roman" w:hAnsi="Times New Roman" w:cs="Times New Roman"/>
          <w:b/>
          <w:bCs/>
        </w:rPr>
        <w:t xml:space="preserve">Step </w:t>
      </w:r>
      <w:r w:rsidR="00631009" w:rsidRPr="0010176D">
        <w:rPr>
          <w:rFonts w:ascii="Times New Roman" w:hAnsi="Times New Roman" w:cs="Times New Roman"/>
          <w:b/>
          <w:bCs/>
        </w:rPr>
        <w:t>8. Anchoring New Approaches in the Culture</w:t>
      </w:r>
    </w:p>
    <w:p w14:paraId="4511B512" w14:textId="16FEBDD2" w:rsidR="0087035E" w:rsidRPr="0087035E" w:rsidRDefault="00E10B11"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631009" w:rsidRPr="0010176D">
        <w:rPr>
          <w:rFonts w:ascii="Times New Roman" w:hAnsi="Times New Roman" w:cs="Times New Roman"/>
          <w:bCs/>
        </w:rPr>
        <w:t>For change to</w:t>
      </w:r>
      <w:r w:rsidR="001771DA" w:rsidRPr="0010176D">
        <w:rPr>
          <w:rFonts w:ascii="Times New Roman" w:hAnsi="Times New Roman" w:cs="Times New Roman"/>
          <w:bCs/>
        </w:rPr>
        <w:t xml:space="preserve"> be sustained at the </w:t>
      </w:r>
      <w:r w:rsidR="000055F1" w:rsidRPr="0010176D">
        <w:rPr>
          <w:rFonts w:ascii="Times New Roman" w:hAnsi="Times New Roman" w:cs="Times New Roman"/>
          <w:bCs/>
        </w:rPr>
        <w:t>spaceports</w:t>
      </w:r>
      <w:r w:rsidR="00631009" w:rsidRPr="0010176D">
        <w:rPr>
          <w:rFonts w:ascii="Times New Roman" w:hAnsi="Times New Roman" w:cs="Times New Roman"/>
          <w:bCs/>
        </w:rPr>
        <w:t xml:space="preserve">, </w:t>
      </w:r>
      <w:r w:rsidR="001771DA" w:rsidRPr="0010176D">
        <w:rPr>
          <w:rFonts w:ascii="Times New Roman" w:hAnsi="Times New Roman" w:cs="Times New Roman"/>
          <w:bCs/>
        </w:rPr>
        <w:t>th</w:t>
      </w:r>
      <w:r w:rsidR="000055F1" w:rsidRPr="0010176D">
        <w:rPr>
          <w:rFonts w:ascii="Times New Roman" w:hAnsi="Times New Roman" w:cs="Times New Roman"/>
          <w:bCs/>
        </w:rPr>
        <w:t xml:space="preserve">e updated </w:t>
      </w:r>
      <w:r w:rsidR="00631009" w:rsidRPr="0010176D">
        <w:rPr>
          <w:rFonts w:ascii="Times New Roman" w:hAnsi="Times New Roman" w:cs="Times New Roman"/>
          <w:bCs/>
        </w:rPr>
        <w:t>mindset</w:t>
      </w:r>
      <w:r w:rsidR="001771DA" w:rsidRPr="0010176D">
        <w:rPr>
          <w:rFonts w:ascii="Times New Roman" w:hAnsi="Times New Roman" w:cs="Times New Roman"/>
          <w:bCs/>
        </w:rPr>
        <w:t xml:space="preserve"> must</w:t>
      </w:r>
      <w:r w:rsidR="000055F1" w:rsidRPr="0010176D">
        <w:rPr>
          <w:rFonts w:ascii="Times New Roman" w:hAnsi="Times New Roman" w:cs="Times New Roman"/>
          <w:bCs/>
        </w:rPr>
        <w:t xml:space="preserve"> </w:t>
      </w:r>
      <w:r w:rsidR="001771DA" w:rsidRPr="0010176D">
        <w:rPr>
          <w:rFonts w:ascii="Times New Roman" w:hAnsi="Times New Roman" w:cs="Times New Roman"/>
          <w:bCs/>
        </w:rPr>
        <w:t xml:space="preserve">become </w:t>
      </w:r>
      <w:r w:rsidR="00EC5586" w:rsidRPr="0010176D">
        <w:rPr>
          <w:rFonts w:ascii="Times New Roman" w:hAnsi="Times New Roman" w:cs="Times New Roman"/>
          <w:bCs/>
        </w:rPr>
        <w:t>the fabric that is</w:t>
      </w:r>
      <w:r w:rsidR="00631009" w:rsidRPr="0010176D">
        <w:rPr>
          <w:rFonts w:ascii="Times New Roman" w:hAnsi="Times New Roman" w:cs="Times New Roman"/>
          <w:bCs/>
        </w:rPr>
        <w:t xml:space="preserve"> baked into the social norms of the </w:t>
      </w:r>
      <w:r w:rsidR="00EC5586" w:rsidRPr="0010176D">
        <w:rPr>
          <w:rFonts w:ascii="Times New Roman" w:hAnsi="Times New Roman" w:cs="Times New Roman"/>
          <w:bCs/>
        </w:rPr>
        <w:t>U.S. Space Force</w:t>
      </w:r>
      <w:r w:rsidR="004210EE" w:rsidRPr="0010176D">
        <w:rPr>
          <w:rFonts w:ascii="Times New Roman" w:hAnsi="Times New Roman" w:cs="Times New Roman"/>
          <w:bCs/>
        </w:rPr>
        <w:t xml:space="preserve"> launch community</w:t>
      </w:r>
      <w:r w:rsidR="00631009" w:rsidRPr="0010176D">
        <w:rPr>
          <w:rFonts w:ascii="Times New Roman" w:hAnsi="Times New Roman" w:cs="Times New Roman"/>
          <w:bCs/>
        </w:rPr>
        <w:t>.</w:t>
      </w:r>
      <w:r w:rsidR="004320E2" w:rsidRPr="0010176D">
        <w:rPr>
          <w:rFonts w:ascii="Times New Roman" w:hAnsi="Times New Roman" w:cs="Times New Roman"/>
          <w:bCs/>
        </w:rPr>
        <w:t xml:space="preserve"> T</w:t>
      </w:r>
      <w:r w:rsidR="0083317D" w:rsidRPr="0010176D">
        <w:rPr>
          <w:rFonts w:ascii="Times New Roman" w:hAnsi="Times New Roman" w:cs="Times New Roman"/>
          <w:bCs/>
        </w:rPr>
        <w:t xml:space="preserve">his is the state where </w:t>
      </w:r>
      <w:r w:rsidR="00991E52" w:rsidRPr="0010176D">
        <w:rPr>
          <w:rFonts w:ascii="Times New Roman" w:hAnsi="Times New Roman" w:cs="Times New Roman"/>
          <w:bCs/>
        </w:rPr>
        <w:t>“</w:t>
      </w:r>
      <w:r w:rsidR="000F2415" w:rsidRPr="0010176D">
        <w:rPr>
          <w:rFonts w:ascii="Times New Roman" w:hAnsi="Times New Roman" w:cs="Times New Roman"/>
          <w:bCs/>
        </w:rPr>
        <w:t>…</w:t>
      </w:r>
      <w:r w:rsidR="00991E52" w:rsidRPr="0010176D">
        <w:rPr>
          <w:rFonts w:ascii="Times New Roman" w:hAnsi="Times New Roman" w:cs="Times New Roman"/>
          <w:bCs/>
        </w:rPr>
        <w:t>new behaviors are rooted in social norms and shared values…”</w:t>
      </w:r>
      <w:r w:rsidR="004210EE" w:rsidRPr="0010176D">
        <w:rPr>
          <w:rFonts w:ascii="Times New Roman" w:hAnsi="Times New Roman" w:cs="Times New Roman"/>
          <w:bCs/>
        </w:rPr>
        <w:t xml:space="preserve"> and</w:t>
      </w:r>
      <w:r w:rsidR="00397F35" w:rsidRPr="0010176D">
        <w:rPr>
          <w:rFonts w:ascii="Times New Roman" w:hAnsi="Times New Roman" w:cs="Times New Roman"/>
          <w:bCs/>
        </w:rPr>
        <w:t xml:space="preserve"> where changes move from being</w:t>
      </w:r>
      <w:r w:rsidR="004210EE" w:rsidRPr="0010176D">
        <w:rPr>
          <w:rFonts w:ascii="Times New Roman" w:hAnsi="Times New Roman" w:cs="Times New Roman"/>
          <w:bCs/>
        </w:rPr>
        <w:t xml:space="preserve"> </w:t>
      </w:r>
      <w:r w:rsidR="0083317D" w:rsidRPr="00AB2172">
        <w:rPr>
          <w:rFonts w:ascii="Times New Roman" w:hAnsi="Times New Roman" w:cs="Times New Roman"/>
          <w:bCs/>
        </w:rPr>
        <w:t xml:space="preserve">episodic initiatives to becoming the cultural fabric </w:t>
      </w:r>
      <w:r w:rsidR="00AB3095" w:rsidRPr="0010176D">
        <w:rPr>
          <w:rFonts w:ascii="Times New Roman" w:hAnsi="Times New Roman" w:cs="Times New Roman"/>
          <w:bCs/>
        </w:rPr>
        <w:t xml:space="preserve">and the standard way an </w:t>
      </w:r>
      <w:r w:rsidR="00AB3095" w:rsidRPr="0010176D">
        <w:rPr>
          <w:rFonts w:ascii="Times New Roman" w:hAnsi="Times New Roman" w:cs="Times New Roman"/>
          <w:bCs/>
        </w:rPr>
        <w:lastRenderedPageBreak/>
        <w:t>organization operates.</w:t>
      </w:r>
      <w:r w:rsidR="00837E6E" w:rsidRPr="0010176D">
        <w:rPr>
          <w:rStyle w:val="FootnoteReference"/>
          <w:rFonts w:ascii="Times New Roman" w:hAnsi="Times New Roman" w:cs="Times New Roman"/>
          <w:bCs/>
        </w:rPr>
        <w:footnoteReference w:id="60"/>
      </w:r>
      <w:r w:rsidR="00AB1240" w:rsidRPr="0010176D">
        <w:rPr>
          <w:rFonts w:ascii="Times New Roman" w:hAnsi="Times New Roman" w:cs="Times New Roman"/>
          <w:bCs/>
        </w:rPr>
        <w:t xml:space="preserve"> </w:t>
      </w:r>
      <w:r w:rsidR="0087035E" w:rsidRPr="0087035E">
        <w:rPr>
          <w:rFonts w:ascii="Times New Roman" w:hAnsi="Times New Roman" w:cs="Times New Roman"/>
          <w:bCs/>
        </w:rPr>
        <w:t>The preceding steps demonstrate the Space Force’s shift to a spaceport model and show how leaders explicitly linked new behaviors to improved performance—an essential condition for anchoring those behaviors in organizational culture.</w:t>
      </w:r>
    </w:p>
    <w:p w14:paraId="6B7BE7D3" w14:textId="652F297E" w:rsidR="00975A6F" w:rsidRPr="0010176D" w:rsidRDefault="00E10B11"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C1184C" w:rsidRPr="0010176D">
        <w:rPr>
          <w:rFonts w:ascii="Times New Roman" w:hAnsi="Times New Roman" w:cs="Times New Roman"/>
          <w:bCs/>
        </w:rPr>
        <w:t xml:space="preserve">One additional consideration </w:t>
      </w:r>
      <w:r w:rsidR="008D2DD1" w:rsidRPr="0010176D">
        <w:rPr>
          <w:rFonts w:ascii="Times New Roman" w:hAnsi="Times New Roman" w:cs="Times New Roman"/>
          <w:bCs/>
        </w:rPr>
        <w:t xml:space="preserve">for </w:t>
      </w:r>
      <w:r w:rsidR="0084280B" w:rsidRPr="0010176D">
        <w:rPr>
          <w:rFonts w:ascii="Times New Roman" w:hAnsi="Times New Roman" w:cs="Times New Roman"/>
          <w:bCs/>
        </w:rPr>
        <w:t xml:space="preserve">the </w:t>
      </w:r>
      <w:r w:rsidR="008D2DD1" w:rsidRPr="0010176D">
        <w:rPr>
          <w:rFonts w:ascii="Times New Roman" w:hAnsi="Times New Roman" w:cs="Times New Roman"/>
          <w:bCs/>
        </w:rPr>
        <w:t xml:space="preserve">U.S. Space Force is to ensure that the next generation of </w:t>
      </w:r>
      <w:r w:rsidR="0084280B" w:rsidRPr="0010176D">
        <w:rPr>
          <w:rFonts w:ascii="Times New Roman" w:hAnsi="Times New Roman" w:cs="Times New Roman"/>
          <w:bCs/>
        </w:rPr>
        <w:t xml:space="preserve">leadership personifies this approach. </w:t>
      </w:r>
      <w:r w:rsidR="00A65200" w:rsidRPr="0010176D">
        <w:rPr>
          <w:rFonts w:ascii="Times New Roman" w:hAnsi="Times New Roman" w:cs="Times New Roman"/>
          <w:bCs/>
        </w:rPr>
        <w:t>T</w:t>
      </w:r>
      <w:r w:rsidR="009F03B4" w:rsidRPr="00AB2172">
        <w:rPr>
          <w:rFonts w:ascii="Times New Roman" w:hAnsi="Times New Roman" w:cs="Times New Roman"/>
          <w:bCs/>
        </w:rPr>
        <w:t>he interviews highlight</w:t>
      </w:r>
      <w:r w:rsidR="009F03B4" w:rsidRPr="0010176D">
        <w:rPr>
          <w:rFonts w:ascii="Times New Roman" w:hAnsi="Times New Roman" w:cs="Times New Roman"/>
          <w:bCs/>
        </w:rPr>
        <w:t>ed</w:t>
      </w:r>
      <w:r w:rsidR="009F03B4" w:rsidRPr="00AB2172">
        <w:rPr>
          <w:rFonts w:ascii="Times New Roman" w:hAnsi="Times New Roman" w:cs="Times New Roman"/>
          <w:bCs/>
        </w:rPr>
        <w:t xml:space="preserve"> that the launch enterprise benefited from a</w:t>
      </w:r>
      <w:r w:rsidR="009F03B4" w:rsidRPr="00AB2172">
        <w:rPr>
          <w:rFonts w:ascii="Times New Roman" w:hAnsi="Times New Roman" w:cs="Times New Roman"/>
        </w:rPr>
        <w:t xml:space="preserve"> "tight fraternity" </w:t>
      </w:r>
      <w:r w:rsidR="009F03B4" w:rsidRPr="00AB2172">
        <w:rPr>
          <w:rFonts w:ascii="Times New Roman" w:hAnsi="Times New Roman" w:cs="Times New Roman"/>
          <w:bCs/>
        </w:rPr>
        <w:t>of leaders who rotated through various roles over decades.</w:t>
      </w:r>
      <w:r w:rsidR="004546FE" w:rsidRPr="0010176D">
        <w:rPr>
          <w:rStyle w:val="FootnoteReference"/>
          <w:rFonts w:ascii="Times New Roman" w:hAnsi="Times New Roman" w:cs="Times New Roman"/>
          <w:bCs/>
        </w:rPr>
        <w:footnoteReference w:id="61"/>
      </w:r>
      <w:r w:rsidR="009F03B4" w:rsidRPr="00AB2172">
        <w:rPr>
          <w:rFonts w:ascii="Times New Roman" w:hAnsi="Times New Roman" w:cs="Times New Roman"/>
          <w:bCs/>
        </w:rPr>
        <w:t xml:space="preserve"> This provided a stable foundation of expertise and consistent messaging that prevented the culture from regressing during individual leadership turnovers.</w:t>
      </w:r>
      <w:r w:rsidR="00D355A7" w:rsidRPr="0010176D">
        <w:rPr>
          <w:rFonts w:ascii="Times New Roman" w:hAnsi="Times New Roman" w:cs="Times New Roman"/>
          <w:bCs/>
        </w:rPr>
        <w:t xml:space="preserve"> </w:t>
      </w:r>
      <w:r w:rsidR="006D06B4" w:rsidRPr="0010176D">
        <w:rPr>
          <w:rFonts w:ascii="Times New Roman" w:hAnsi="Times New Roman" w:cs="Times New Roman"/>
          <w:bCs/>
        </w:rPr>
        <w:t xml:space="preserve">Often underemphasized as a strategy for </w:t>
      </w:r>
      <w:r w:rsidR="00AF1425" w:rsidRPr="0010176D">
        <w:rPr>
          <w:rFonts w:ascii="Times New Roman" w:hAnsi="Times New Roman" w:cs="Times New Roman"/>
          <w:bCs/>
        </w:rPr>
        <w:t>sustaining change</w:t>
      </w:r>
      <w:r w:rsidR="006D06B4" w:rsidRPr="0010176D">
        <w:rPr>
          <w:rFonts w:ascii="Times New Roman" w:hAnsi="Times New Roman" w:cs="Times New Roman"/>
          <w:bCs/>
        </w:rPr>
        <w:t>, t</w:t>
      </w:r>
      <w:r w:rsidR="00D355A7" w:rsidRPr="0010176D">
        <w:rPr>
          <w:rFonts w:ascii="Times New Roman" w:hAnsi="Times New Roman" w:cs="Times New Roman"/>
          <w:bCs/>
        </w:rPr>
        <w:t>his deliberate planning for turnover ensures that the logic of the new system remains intact even as individual</w:t>
      </w:r>
      <w:r w:rsidR="00A65200" w:rsidRPr="0010176D">
        <w:rPr>
          <w:rFonts w:ascii="Times New Roman" w:hAnsi="Times New Roman" w:cs="Times New Roman"/>
          <w:bCs/>
        </w:rPr>
        <w:t xml:space="preserve"> personalities and preferences transition through the organization</w:t>
      </w:r>
      <w:r w:rsidR="00D355A7" w:rsidRPr="0010176D">
        <w:rPr>
          <w:rFonts w:ascii="Times New Roman" w:hAnsi="Times New Roman" w:cs="Times New Roman"/>
          <w:bCs/>
        </w:rPr>
        <w:t>.</w:t>
      </w:r>
      <w:r w:rsidR="00C122D9" w:rsidRPr="0010176D">
        <w:rPr>
          <w:rFonts w:ascii="Times New Roman" w:hAnsi="Times New Roman" w:cs="Times New Roman"/>
          <w:bCs/>
        </w:rPr>
        <w:t xml:space="preserve"> </w:t>
      </w:r>
    </w:p>
    <w:p w14:paraId="33559540" w14:textId="38BE0441" w:rsidR="00087B4A" w:rsidRPr="0010176D" w:rsidRDefault="00E10B11" w:rsidP="00350E78">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A65200" w:rsidRPr="0010176D">
        <w:rPr>
          <w:rFonts w:ascii="Times New Roman" w:hAnsi="Times New Roman" w:cs="Times New Roman"/>
          <w:bCs/>
        </w:rPr>
        <w:t>Prior to and d</w:t>
      </w:r>
      <w:r w:rsidR="00C122D9" w:rsidRPr="0010176D">
        <w:rPr>
          <w:rFonts w:ascii="Times New Roman" w:hAnsi="Times New Roman" w:cs="Times New Roman"/>
          <w:bCs/>
        </w:rPr>
        <w:t xml:space="preserve">uring the </w:t>
      </w:r>
      <w:proofErr w:type="gramStart"/>
      <w:r w:rsidR="00C122D9" w:rsidRPr="0010176D">
        <w:rPr>
          <w:rFonts w:ascii="Times New Roman" w:hAnsi="Times New Roman" w:cs="Times New Roman"/>
          <w:bCs/>
        </w:rPr>
        <w:t>time period</w:t>
      </w:r>
      <w:proofErr w:type="gramEnd"/>
      <w:r w:rsidR="00C122D9" w:rsidRPr="0010176D">
        <w:rPr>
          <w:rFonts w:ascii="Times New Roman" w:hAnsi="Times New Roman" w:cs="Times New Roman"/>
          <w:bCs/>
        </w:rPr>
        <w:t xml:space="preserve"> of </w:t>
      </w:r>
      <w:r w:rsidR="00BE771D" w:rsidRPr="0010176D">
        <w:rPr>
          <w:rFonts w:ascii="Times New Roman" w:hAnsi="Times New Roman" w:cs="Times New Roman"/>
          <w:bCs/>
        </w:rPr>
        <w:t>the</w:t>
      </w:r>
      <w:r w:rsidR="00C122D9" w:rsidRPr="0010176D">
        <w:rPr>
          <w:rFonts w:ascii="Times New Roman" w:hAnsi="Times New Roman" w:cs="Times New Roman"/>
          <w:bCs/>
        </w:rPr>
        <w:t xml:space="preserve"> launch cadence increase, </w:t>
      </w:r>
      <w:r w:rsidR="00BE771D" w:rsidRPr="0010176D">
        <w:rPr>
          <w:rFonts w:ascii="Times New Roman" w:hAnsi="Times New Roman" w:cs="Times New Roman"/>
          <w:bCs/>
        </w:rPr>
        <w:t xml:space="preserve">U.S. Space Force </w:t>
      </w:r>
      <w:r w:rsidR="00C122D9" w:rsidRPr="0010176D">
        <w:rPr>
          <w:rFonts w:ascii="Times New Roman" w:hAnsi="Times New Roman" w:cs="Times New Roman"/>
          <w:bCs/>
        </w:rPr>
        <w:t>leaders</w:t>
      </w:r>
      <w:r w:rsidR="00BE771D" w:rsidRPr="0010176D">
        <w:rPr>
          <w:rFonts w:ascii="Times New Roman" w:hAnsi="Times New Roman" w:cs="Times New Roman"/>
          <w:bCs/>
        </w:rPr>
        <w:t xml:space="preserve"> </w:t>
      </w:r>
      <w:r w:rsidR="00975A6F" w:rsidRPr="0010176D">
        <w:rPr>
          <w:rFonts w:ascii="Times New Roman" w:hAnsi="Times New Roman" w:cs="Times New Roman"/>
          <w:bCs/>
        </w:rPr>
        <w:t>also built deep relationships with industry</w:t>
      </w:r>
      <w:r w:rsidR="003D1B59" w:rsidRPr="0010176D">
        <w:rPr>
          <w:rFonts w:ascii="Times New Roman" w:hAnsi="Times New Roman" w:cs="Times New Roman"/>
          <w:bCs/>
        </w:rPr>
        <w:t xml:space="preserve"> and </w:t>
      </w:r>
      <w:r w:rsidR="00975A6F" w:rsidRPr="0010176D">
        <w:rPr>
          <w:rFonts w:ascii="Times New Roman" w:hAnsi="Times New Roman" w:cs="Times New Roman"/>
          <w:bCs/>
        </w:rPr>
        <w:t xml:space="preserve">with </w:t>
      </w:r>
      <w:r w:rsidR="003D1B59" w:rsidRPr="0010176D">
        <w:rPr>
          <w:rFonts w:ascii="Times New Roman" w:hAnsi="Times New Roman" w:cs="Times New Roman"/>
          <w:bCs/>
        </w:rPr>
        <w:t xml:space="preserve">federal, congressional, state, and local </w:t>
      </w:r>
      <w:r w:rsidR="00975A6F" w:rsidRPr="0010176D">
        <w:rPr>
          <w:rFonts w:ascii="Times New Roman" w:hAnsi="Times New Roman" w:cs="Times New Roman"/>
          <w:bCs/>
        </w:rPr>
        <w:t>representatives</w:t>
      </w:r>
      <w:r w:rsidR="003D1B59" w:rsidRPr="0010176D">
        <w:rPr>
          <w:rFonts w:ascii="Times New Roman" w:hAnsi="Times New Roman" w:cs="Times New Roman"/>
          <w:bCs/>
        </w:rPr>
        <w:t xml:space="preserve">. </w:t>
      </w:r>
      <w:r w:rsidR="00E47280" w:rsidRPr="0010176D">
        <w:rPr>
          <w:rFonts w:ascii="Times New Roman" w:hAnsi="Times New Roman" w:cs="Times New Roman"/>
          <w:bCs/>
        </w:rPr>
        <w:t xml:space="preserve">Not only </w:t>
      </w:r>
      <w:r w:rsidR="00D317CA" w:rsidRPr="0010176D">
        <w:rPr>
          <w:rFonts w:ascii="Times New Roman" w:hAnsi="Times New Roman" w:cs="Times New Roman"/>
          <w:bCs/>
        </w:rPr>
        <w:t>did these relationship</w:t>
      </w:r>
      <w:r w:rsidR="006B4C8F" w:rsidRPr="0010176D">
        <w:rPr>
          <w:rFonts w:ascii="Times New Roman" w:hAnsi="Times New Roman" w:cs="Times New Roman"/>
          <w:bCs/>
        </w:rPr>
        <w:t>s</w:t>
      </w:r>
      <w:r w:rsidR="00D317CA" w:rsidRPr="0010176D">
        <w:rPr>
          <w:rFonts w:ascii="Times New Roman" w:hAnsi="Times New Roman" w:cs="Times New Roman"/>
          <w:bCs/>
        </w:rPr>
        <w:t xml:space="preserve"> enable the launch community to overcome specific obstacles, but the relationships also </w:t>
      </w:r>
      <w:r w:rsidR="00B61548" w:rsidRPr="0010176D">
        <w:rPr>
          <w:rFonts w:ascii="Times New Roman" w:hAnsi="Times New Roman" w:cs="Times New Roman"/>
          <w:bCs/>
        </w:rPr>
        <w:t xml:space="preserve">built a common understanding of what needed to happen and </w:t>
      </w:r>
      <w:r w:rsidR="0035271B" w:rsidRPr="0010176D">
        <w:rPr>
          <w:rFonts w:ascii="Times New Roman" w:hAnsi="Times New Roman" w:cs="Times New Roman"/>
          <w:bCs/>
        </w:rPr>
        <w:t xml:space="preserve">how to </w:t>
      </w:r>
      <w:r w:rsidR="00253C95" w:rsidRPr="0010176D">
        <w:rPr>
          <w:rFonts w:ascii="Times New Roman" w:hAnsi="Times New Roman" w:cs="Times New Roman"/>
          <w:bCs/>
        </w:rPr>
        <w:t>align shared or even competing priorities.</w:t>
      </w:r>
      <w:r w:rsidR="008B54E2" w:rsidRPr="0010176D">
        <w:rPr>
          <w:rFonts w:ascii="Times New Roman" w:hAnsi="Times New Roman" w:cs="Times New Roman"/>
          <w:bCs/>
        </w:rPr>
        <w:t xml:space="preserve"> One launch leader commented that </w:t>
      </w:r>
      <w:r w:rsidR="009B3EE6" w:rsidRPr="0010176D">
        <w:rPr>
          <w:rFonts w:ascii="Times New Roman" w:hAnsi="Times New Roman" w:cs="Times New Roman"/>
          <w:bCs/>
        </w:rPr>
        <w:t xml:space="preserve">while </w:t>
      </w:r>
      <w:r w:rsidR="008B54E2" w:rsidRPr="0010176D">
        <w:rPr>
          <w:rFonts w:ascii="Times New Roman" w:hAnsi="Times New Roman" w:cs="Times New Roman"/>
          <w:bCs/>
        </w:rPr>
        <w:t xml:space="preserve">challenges </w:t>
      </w:r>
      <w:r w:rsidR="00123303" w:rsidRPr="0010176D">
        <w:rPr>
          <w:rFonts w:ascii="Times New Roman" w:hAnsi="Times New Roman" w:cs="Times New Roman"/>
          <w:bCs/>
        </w:rPr>
        <w:t xml:space="preserve">had always existed, the </w:t>
      </w:r>
      <w:r w:rsidR="009B3EE6" w:rsidRPr="0010176D">
        <w:rPr>
          <w:rFonts w:ascii="Times New Roman" w:hAnsi="Times New Roman" w:cs="Times New Roman"/>
          <w:bCs/>
        </w:rPr>
        <w:t>i</w:t>
      </w:r>
      <w:r w:rsidR="00123303" w:rsidRPr="0010176D">
        <w:rPr>
          <w:rFonts w:ascii="Times New Roman" w:hAnsi="Times New Roman" w:cs="Times New Roman"/>
          <w:bCs/>
        </w:rPr>
        <w:t>ncrease</w:t>
      </w:r>
      <w:r w:rsidR="009B3EE6" w:rsidRPr="0010176D">
        <w:rPr>
          <w:rFonts w:ascii="Times New Roman" w:hAnsi="Times New Roman" w:cs="Times New Roman"/>
          <w:bCs/>
        </w:rPr>
        <w:t>d launch cadence</w:t>
      </w:r>
      <w:r w:rsidR="00123303" w:rsidRPr="0010176D">
        <w:rPr>
          <w:rFonts w:ascii="Times New Roman" w:hAnsi="Times New Roman" w:cs="Times New Roman"/>
          <w:bCs/>
        </w:rPr>
        <w:t xml:space="preserve"> made everything significantly harder to resolve</w:t>
      </w:r>
      <w:r w:rsidR="00F95B3E" w:rsidRPr="0010176D">
        <w:rPr>
          <w:rFonts w:ascii="Times New Roman" w:hAnsi="Times New Roman" w:cs="Times New Roman"/>
          <w:bCs/>
        </w:rPr>
        <w:t xml:space="preserve"> due to </w:t>
      </w:r>
      <w:r w:rsidR="00EC53FB" w:rsidRPr="0010176D">
        <w:rPr>
          <w:rFonts w:ascii="Times New Roman" w:hAnsi="Times New Roman" w:cs="Times New Roman"/>
          <w:bCs/>
        </w:rPr>
        <w:t>shortened</w:t>
      </w:r>
      <w:r w:rsidR="00F95B3E" w:rsidRPr="0010176D">
        <w:rPr>
          <w:rFonts w:ascii="Times New Roman" w:hAnsi="Times New Roman" w:cs="Times New Roman"/>
          <w:bCs/>
        </w:rPr>
        <w:t xml:space="preserve"> timelines</w:t>
      </w:r>
      <w:r w:rsidR="00036038" w:rsidRPr="0010176D">
        <w:rPr>
          <w:rFonts w:ascii="Times New Roman" w:hAnsi="Times New Roman" w:cs="Times New Roman"/>
          <w:bCs/>
        </w:rPr>
        <w:t xml:space="preserve"> to generat</w:t>
      </w:r>
      <w:r w:rsidR="00490D40" w:rsidRPr="0010176D">
        <w:rPr>
          <w:rFonts w:ascii="Times New Roman" w:hAnsi="Times New Roman" w:cs="Times New Roman"/>
          <w:bCs/>
        </w:rPr>
        <w:t>e solutions</w:t>
      </w:r>
      <w:r w:rsidR="00F95B3E" w:rsidRPr="0010176D">
        <w:rPr>
          <w:rFonts w:ascii="Times New Roman" w:hAnsi="Times New Roman" w:cs="Times New Roman"/>
          <w:bCs/>
        </w:rPr>
        <w:t>, more touchpoints for industry competition, and</w:t>
      </w:r>
      <w:r w:rsidR="006F6EB3" w:rsidRPr="0010176D">
        <w:rPr>
          <w:rFonts w:ascii="Times New Roman" w:hAnsi="Times New Roman" w:cs="Times New Roman"/>
          <w:bCs/>
        </w:rPr>
        <w:t xml:space="preserve"> </w:t>
      </w:r>
      <w:r w:rsidR="00036038" w:rsidRPr="0010176D">
        <w:rPr>
          <w:rFonts w:ascii="Times New Roman" w:hAnsi="Times New Roman" w:cs="Times New Roman"/>
          <w:bCs/>
        </w:rPr>
        <w:t>workforce challenges</w:t>
      </w:r>
      <w:r w:rsidR="00F95B3E" w:rsidRPr="0010176D">
        <w:rPr>
          <w:rFonts w:ascii="Times New Roman" w:hAnsi="Times New Roman" w:cs="Times New Roman"/>
          <w:bCs/>
        </w:rPr>
        <w:t xml:space="preserve"> </w:t>
      </w:r>
      <w:r w:rsidR="00872522">
        <w:rPr>
          <w:rFonts w:ascii="Times New Roman" w:hAnsi="Times New Roman" w:cs="Times New Roman"/>
          <w:bCs/>
        </w:rPr>
        <w:t>due to</w:t>
      </w:r>
      <w:r w:rsidR="00490D40" w:rsidRPr="0010176D">
        <w:rPr>
          <w:rFonts w:ascii="Times New Roman" w:hAnsi="Times New Roman" w:cs="Times New Roman"/>
          <w:bCs/>
        </w:rPr>
        <w:t xml:space="preserve"> the Coronavirus pandemic or government shutdowns</w:t>
      </w:r>
      <w:r w:rsidR="00123303" w:rsidRPr="0010176D">
        <w:rPr>
          <w:rFonts w:ascii="Times New Roman" w:hAnsi="Times New Roman" w:cs="Times New Roman"/>
          <w:bCs/>
        </w:rPr>
        <w:t>.</w:t>
      </w:r>
      <w:r w:rsidR="00872522" w:rsidRPr="0010176D">
        <w:rPr>
          <w:rStyle w:val="FootnoteReference"/>
          <w:rFonts w:ascii="Times New Roman" w:hAnsi="Times New Roman" w:cs="Times New Roman"/>
          <w:bCs/>
        </w:rPr>
        <w:footnoteReference w:id="62"/>
      </w:r>
      <w:r w:rsidR="00F95B3E" w:rsidRPr="0010176D">
        <w:rPr>
          <w:rFonts w:ascii="Times New Roman" w:hAnsi="Times New Roman" w:cs="Times New Roman"/>
          <w:bCs/>
        </w:rPr>
        <w:t xml:space="preserve"> </w:t>
      </w:r>
      <w:r w:rsidR="00217C65">
        <w:rPr>
          <w:rFonts w:ascii="Times New Roman" w:hAnsi="Times New Roman" w:cs="Times New Roman"/>
          <w:bCs/>
        </w:rPr>
        <w:t>K</w:t>
      </w:r>
      <w:r w:rsidR="00984B0A" w:rsidRPr="0010176D">
        <w:rPr>
          <w:rFonts w:ascii="Times New Roman" w:hAnsi="Times New Roman" w:cs="Times New Roman"/>
          <w:bCs/>
        </w:rPr>
        <w:t xml:space="preserve">nowing how to navigate peer </w:t>
      </w:r>
      <w:r w:rsidR="00B32BA6" w:rsidRPr="0010176D">
        <w:rPr>
          <w:rFonts w:ascii="Times New Roman" w:hAnsi="Times New Roman" w:cs="Times New Roman"/>
          <w:bCs/>
        </w:rPr>
        <w:t>and</w:t>
      </w:r>
      <w:r w:rsidR="00984B0A" w:rsidRPr="0010176D">
        <w:rPr>
          <w:rFonts w:ascii="Times New Roman" w:hAnsi="Times New Roman" w:cs="Times New Roman"/>
          <w:bCs/>
        </w:rPr>
        <w:t xml:space="preserve"> organizational hierarchies w</w:t>
      </w:r>
      <w:r w:rsidR="00B32BA6" w:rsidRPr="0010176D">
        <w:rPr>
          <w:rFonts w:ascii="Times New Roman" w:hAnsi="Times New Roman" w:cs="Times New Roman"/>
          <w:bCs/>
        </w:rPr>
        <w:t>ere</w:t>
      </w:r>
      <w:r w:rsidR="00984B0A" w:rsidRPr="0010176D">
        <w:rPr>
          <w:rFonts w:ascii="Times New Roman" w:hAnsi="Times New Roman" w:cs="Times New Roman"/>
          <w:bCs/>
        </w:rPr>
        <w:t xml:space="preserve"> crucial ingredient</w:t>
      </w:r>
      <w:r w:rsidR="00B32BA6" w:rsidRPr="0010176D">
        <w:rPr>
          <w:rFonts w:ascii="Times New Roman" w:hAnsi="Times New Roman" w:cs="Times New Roman"/>
          <w:bCs/>
        </w:rPr>
        <w:t>s</w:t>
      </w:r>
      <w:r w:rsidR="00984B0A" w:rsidRPr="0010176D">
        <w:rPr>
          <w:rFonts w:ascii="Times New Roman" w:hAnsi="Times New Roman" w:cs="Times New Roman"/>
          <w:bCs/>
        </w:rPr>
        <w:t xml:space="preserve"> to success during the transition. </w:t>
      </w:r>
    </w:p>
    <w:p w14:paraId="6C08925E" w14:textId="77777777" w:rsidR="00087B4A" w:rsidRPr="0010176D" w:rsidRDefault="00087B4A" w:rsidP="001771DA">
      <w:pPr>
        <w:widowControl w:val="0"/>
        <w:tabs>
          <w:tab w:val="left" w:pos="270"/>
        </w:tabs>
        <w:autoSpaceDE w:val="0"/>
        <w:autoSpaceDN w:val="0"/>
        <w:spacing w:after="0" w:line="259" w:lineRule="auto"/>
        <w:rPr>
          <w:rFonts w:ascii="Times New Roman" w:hAnsi="Times New Roman" w:cs="Times New Roman"/>
          <w:bCs/>
        </w:rPr>
      </w:pPr>
    </w:p>
    <w:p w14:paraId="0F9061AF" w14:textId="180D7FDE" w:rsidR="00087B4A" w:rsidRPr="007931E5" w:rsidRDefault="000C1CA0" w:rsidP="00E10B11">
      <w:pPr>
        <w:pStyle w:val="Heading1"/>
        <w:spacing w:after="360"/>
        <w:rPr>
          <w:rFonts w:ascii="Times New Roman" w:hAnsi="Times New Roman" w:cs="Times New Roman"/>
          <w:b/>
          <w:bCs/>
          <w:color w:val="auto"/>
          <w:sz w:val="32"/>
          <w:szCs w:val="32"/>
        </w:rPr>
      </w:pPr>
      <w:bookmarkStart w:id="13" w:name="_Toc227163560"/>
      <w:r w:rsidRPr="007931E5">
        <w:rPr>
          <w:rFonts w:ascii="Times New Roman" w:hAnsi="Times New Roman" w:cs="Times New Roman"/>
          <w:b/>
          <w:bCs/>
          <w:color w:val="auto"/>
          <w:sz w:val="32"/>
          <w:szCs w:val="32"/>
        </w:rPr>
        <w:lastRenderedPageBreak/>
        <w:t xml:space="preserve">Policy </w:t>
      </w:r>
      <w:r w:rsidR="00087B4A" w:rsidRPr="007931E5">
        <w:rPr>
          <w:rFonts w:ascii="Times New Roman" w:hAnsi="Times New Roman" w:cs="Times New Roman"/>
          <w:b/>
          <w:bCs/>
          <w:color w:val="auto"/>
          <w:sz w:val="32"/>
          <w:szCs w:val="32"/>
        </w:rPr>
        <w:t xml:space="preserve">Recommendations </w:t>
      </w:r>
      <w:r w:rsidR="0096690D" w:rsidRPr="007931E5">
        <w:rPr>
          <w:rFonts w:ascii="Times New Roman" w:hAnsi="Times New Roman" w:cs="Times New Roman"/>
          <w:b/>
          <w:bCs/>
          <w:color w:val="auto"/>
          <w:sz w:val="32"/>
          <w:szCs w:val="32"/>
        </w:rPr>
        <w:t>and Conclusion</w:t>
      </w:r>
      <w:bookmarkEnd w:id="13"/>
    </w:p>
    <w:p w14:paraId="0B73BEE8" w14:textId="2ADA8DE0" w:rsidR="00C7085C" w:rsidRPr="0010176D" w:rsidRDefault="00E10B11" w:rsidP="00E10B11">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C7085C" w:rsidRPr="0010176D">
        <w:rPr>
          <w:rFonts w:ascii="Times New Roman" w:hAnsi="Times New Roman" w:cs="Times New Roman"/>
          <w:bCs/>
        </w:rPr>
        <w:t>T</w:t>
      </w:r>
      <w:r w:rsidR="00C7085C" w:rsidRPr="00C7085C">
        <w:rPr>
          <w:rFonts w:ascii="Times New Roman" w:hAnsi="Times New Roman" w:cs="Times New Roman"/>
          <w:bCs/>
        </w:rPr>
        <w:t xml:space="preserve">his paper examined how the </w:t>
      </w:r>
      <w:r w:rsidR="00717CC7" w:rsidRPr="0010176D">
        <w:rPr>
          <w:rFonts w:ascii="Times New Roman" w:hAnsi="Times New Roman" w:cs="Times New Roman"/>
          <w:bCs/>
        </w:rPr>
        <w:t xml:space="preserve">government </w:t>
      </w:r>
      <w:r w:rsidR="00C7085C" w:rsidRPr="00C7085C">
        <w:rPr>
          <w:rFonts w:ascii="Times New Roman" w:hAnsi="Times New Roman" w:cs="Times New Roman"/>
          <w:bCs/>
        </w:rPr>
        <w:t>enabled an unprecedented increase in space launch cadence by fundamentally redefining the federal government’s role in space launch</w:t>
      </w:r>
      <w:r w:rsidR="00AF19A4" w:rsidRPr="0010176D">
        <w:rPr>
          <w:rFonts w:ascii="Times New Roman" w:hAnsi="Times New Roman" w:cs="Times New Roman"/>
          <w:bCs/>
        </w:rPr>
        <w:t xml:space="preserve"> </w:t>
      </w:r>
      <w:r w:rsidR="00C7085C" w:rsidRPr="00C7085C">
        <w:rPr>
          <w:rFonts w:ascii="Times New Roman" w:hAnsi="Times New Roman" w:cs="Times New Roman"/>
          <w:bCs/>
        </w:rPr>
        <w:t>from a direct operator of missions to a spaceport manager</w:t>
      </w:r>
      <w:r w:rsidR="00AF19A4" w:rsidRPr="0010176D">
        <w:rPr>
          <w:rFonts w:ascii="Times New Roman" w:hAnsi="Times New Roman" w:cs="Times New Roman"/>
          <w:bCs/>
        </w:rPr>
        <w:t xml:space="preserve"> and </w:t>
      </w:r>
      <w:r w:rsidR="00A500C3" w:rsidRPr="0010176D">
        <w:rPr>
          <w:rFonts w:ascii="Times New Roman" w:hAnsi="Times New Roman" w:cs="Times New Roman"/>
          <w:bCs/>
        </w:rPr>
        <w:t>launch customer</w:t>
      </w:r>
      <w:r w:rsidR="00C7085C" w:rsidRPr="00C7085C">
        <w:rPr>
          <w:rFonts w:ascii="Times New Roman" w:hAnsi="Times New Roman" w:cs="Times New Roman"/>
          <w:bCs/>
        </w:rPr>
        <w:t xml:space="preserve">. The transition from approximately 10 launches per year to more than 100 </w:t>
      </w:r>
      <w:r w:rsidR="00A500C3" w:rsidRPr="0010176D">
        <w:rPr>
          <w:rFonts w:ascii="Times New Roman" w:hAnsi="Times New Roman" w:cs="Times New Roman"/>
          <w:bCs/>
        </w:rPr>
        <w:t xml:space="preserve">per year </w:t>
      </w:r>
      <w:r w:rsidR="00C7085C" w:rsidRPr="00C7085C">
        <w:rPr>
          <w:rFonts w:ascii="Times New Roman" w:hAnsi="Times New Roman" w:cs="Times New Roman"/>
          <w:bCs/>
        </w:rPr>
        <w:t xml:space="preserve">was not solely the result of technological </w:t>
      </w:r>
      <w:r w:rsidR="00A500C3" w:rsidRPr="0010176D">
        <w:rPr>
          <w:rFonts w:ascii="Times New Roman" w:hAnsi="Times New Roman" w:cs="Times New Roman"/>
          <w:bCs/>
        </w:rPr>
        <w:t>and commercial i</w:t>
      </w:r>
      <w:r w:rsidR="00C7085C" w:rsidRPr="00C7085C">
        <w:rPr>
          <w:rFonts w:ascii="Times New Roman" w:hAnsi="Times New Roman" w:cs="Times New Roman"/>
          <w:bCs/>
        </w:rPr>
        <w:t>nnovation</w:t>
      </w:r>
      <w:r w:rsidR="00717CC7" w:rsidRPr="0010176D">
        <w:rPr>
          <w:rFonts w:ascii="Times New Roman" w:hAnsi="Times New Roman" w:cs="Times New Roman"/>
          <w:bCs/>
        </w:rPr>
        <w:t xml:space="preserve">, it </w:t>
      </w:r>
      <w:r w:rsidR="00C7085C" w:rsidRPr="00C7085C">
        <w:rPr>
          <w:rFonts w:ascii="Times New Roman" w:hAnsi="Times New Roman" w:cs="Times New Roman"/>
          <w:bCs/>
        </w:rPr>
        <w:t xml:space="preserve">required </w:t>
      </w:r>
      <w:r w:rsidR="00A500C3" w:rsidRPr="0010176D">
        <w:rPr>
          <w:rFonts w:ascii="Times New Roman" w:hAnsi="Times New Roman" w:cs="Times New Roman"/>
          <w:bCs/>
        </w:rPr>
        <w:t xml:space="preserve">an evolution of </w:t>
      </w:r>
      <w:r w:rsidR="00C7085C" w:rsidRPr="00C7085C">
        <w:rPr>
          <w:rFonts w:ascii="Times New Roman" w:hAnsi="Times New Roman" w:cs="Times New Roman"/>
          <w:bCs/>
        </w:rPr>
        <w:t>government policy, regulation, organizational structure, and culture.</w:t>
      </w:r>
    </w:p>
    <w:p w14:paraId="726F8BD7" w14:textId="460FFBC8" w:rsidR="00C7085C" w:rsidRPr="0010176D" w:rsidRDefault="00E10B11" w:rsidP="00E10B11">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C7085C" w:rsidRPr="00C7085C">
        <w:rPr>
          <w:rFonts w:ascii="Times New Roman" w:hAnsi="Times New Roman" w:cs="Times New Roman"/>
          <w:bCs/>
        </w:rPr>
        <w:t>As commercial demand for space access surged</w:t>
      </w:r>
      <w:r w:rsidR="00521BED" w:rsidRPr="0010176D">
        <w:rPr>
          <w:rFonts w:ascii="Times New Roman" w:hAnsi="Times New Roman" w:cs="Times New Roman"/>
          <w:bCs/>
        </w:rPr>
        <w:t xml:space="preserve">, </w:t>
      </w:r>
      <w:r w:rsidR="00C7085C" w:rsidRPr="00C7085C">
        <w:rPr>
          <w:rFonts w:ascii="Times New Roman" w:hAnsi="Times New Roman" w:cs="Times New Roman"/>
          <w:bCs/>
        </w:rPr>
        <w:t xml:space="preserve">driven primarily by the proliferation of low </w:t>
      </w:r>
      <w:r w:rsidR="00521BED" w:rsidRPr="0010176D">
        <w:rPr>
          <w:rFonts w:ascii="Times New Roman" w:hAnsi="Times New Roman" w:cs="Times New Roman"/>
          <w:bCs/>
        </w:rPr>
        <w:t>e</w:t>
      </w:r>
      <w:r w:rsidR="00C7085C" w:rsidRPr="00C7085C">
        <w:rPr>
          <w:rFonts w:ascii="Times New Roman" w:hAnsi="Times New Roman" w:cs="Times New Roman"/>
          <w:bCs/>
        </w:rPr>
        <w:t>arth orbit satellite constellations</w:t>
      </w:r>
      <w:r w:rsidR="00521BED" w:rsidRPr="0010176D">
        <w:rPr>
          <w:rFonts w:ascii="Times New Roman" w:hAnsi="Times New Roman" w:cs="Times New Roman"/>
          <w:bCs/>
        </w:rPr>
        <w:t xml:space="preserve">, </w:t>
      </w:r>
      <w:r w:rsidR="00C7085C" w:rsidRPr="00C7085C">
        <w:rPr>
          <w:rFonts w:ascii="Times New Roman" w:hAnsi="Times New Roman" w:cs="Times New Roman"/>
          <w:bCs/>
        </w:rPr>
        <w:t xml:space="preserve">the legacy military range model </w:t>
      </w:r>
      <w:r w:rsidR="00521BED" w:rsidRPr="0010176D">
        <w:rPr>
          <w:rFonts w:ascii="Times New Roman" w:hAnsi="Times New Roman" w:cs="Times New Roman"/>
          <w:bCs/>
        </w:rPr>
        <w:t xml:space="preserve">began to show areas of tension and </w:t>
      </w:r>
      <w:r w:rsidR="00C7085C" w:rsidRPr="00C7085C">
        <w:rPr>
          <w:rFonts w:ascii="Times New Roman" w:hAnsi="Times New Roman" w:cs="Times New Roman"/>
          <w:bCs/>
        </w:rPr>
        <w:t>misalign</w:t>
      </w:r>
      <w:r w:rsidR="00521BED" w:rsidRPr="0010176D">
        <w:rPr>
          <w:rFonts w:ascii="Times New Roman" w:hAnsi="Times New Roman" w:cs="Times New Roman"/>
          <w:bCs/>
        </w:rPr>
        <w:t>ment</w:t>
      </w:r>
      <w:r w:rsidR="00C7085C" w:rsidRPr="00C7085C">
        <w:rPr>
          <w:rFonts w:ascii="Times New Roman" w:hAnsi="Times New Roman" w:cs="Times New Roman"/>
          <w:bCs/>
        </w:rPr>
        <w:t xml:space="preserve"> with the </w:t>
      </w:r>
      <w:r w:rsidR="00521BED" w:rsidRPr="0010176D">
        <w:rPr>
          <w:rFonts w:ascii="Times New Roman" w:hAnsi="Times New Roman" w:cs="Times New Roman"/>
          <w:bCs/>
        </w:rPr>
        <w:t xml:space="preserve">requirements </w:t>
      </w:r>
      <w:r w:rsidR="00C7085C" w:rsidRPr="00C7085C">
        <w:rPr>
          <w:rFonts w:ascii="Times New Roman" w:hAnsi="Times New Roman" w:cs="Times New Roman"/>
          <w:bCs/>
        </w:rPr>
        <w:t>of a high</w:t>
      </w:r>
      <w:r w:rsidR="00C7085C" w:rsidRPr="00C7085C">
        <w:rPr>
          <w:rFonts w:ascii="Times New Roman" w:hAnsi="Times New Roman" w:cs="Times New Roman"/>
          <w:bCs/>
        </w:rPr>
        <w:noBreakHyphen/>
        <w:t>cadence launch environment. Frameworks designed for infrequent, risk</w:t>
      </w:r>
      <w:r w:rsidR="00C7085C" w:rsidRPr="00C7085C">
        <w:rPr>
          <w:rFonts w:ascii="Times New Roman" w:hAnsi="Times New Roman" w:cs="Times New Roman"/>
          <w:bCs/>
        </w:rPr>
        <w:noBreakHyphen/>
      </w:r>
      <w:r w:rsidR="00521BED" w:rsidRPr="0010176D">
        <w:rPr>
          <w:rFonts w:ascii="Times New Roman" w:hAnsi="Times New Roman" w:cs="Times New Roman"/>
          <w:bCs/>
        </w:rPr>
        <w:t>averse</w:t>
      </w:r>
      <w:r w:rsidR="00C7085C" w:rsidRPr="00C7085C">
        <w:rPr>
          <w:rFonts w:ascii="Times New Roman" w:hAnsi="Times New Roman" w:cs="Times New Roman"/>
          <w:bCs/>
        </w:rPr>
        <w:t xml:space="preserve"> launches became bottlenecks rather than safeguards. In response, Congress, regulatory agencies, and the U.S. Space Force enacted a series of deliberate policy and organizational changes that together enabled scale: streamlined licensing under FAA Part 450, expanded statutory authorities for commercial cooperation under Title 10, increased cost</w:t>
      </w:r>
      <w:r w:rsidR="00C7085C" w:rsidRPr="00C7085C">
        <w:rPr>
          <w:rFonts w:ascii="Times New Roman" w:hAnsi="Times New Roman" w:cs="Times New Roman"/>
          <w:bCs/>
        </w:rPr>
        <w:noBreakHyphen/>
        <w:t>sharing and infrastructure reinvestment, and the consolidation of launch governance under a single</w:t>
      </w:r>
      <w:r w:rsidR="009B6E8F" w:rsidRPr="0010176D">
        <w:rPr>
          <w:rFonts w:ascii="Times New Roman" w:hAnsi="Times New Roman" w:cs="Times New Roman"/>
          <w:bCs/>
        </w:rPr>
        <w:t xml:space="preserve"> Assured Access to Space</w:t>
      </w:r>
      <w:r w:rsidR="00C7085C" w:rsidRPr="00C7085C">
        <w:rPr>
          <w:rFonts w:ascii="Times New Roman" w:hAnsi="Times New Roman" w:cs="Times New Roman"/>
          <w:bCs/>
        </w:rPr>
        <w:t xml:space="preserve"> enterprise</w:t>
      </w:r>
    </w:p>
    <w:p w14:paraId="3C54B4D6" w14:textId="0D47B80D" w:rsidR="00C7085C" w:rsidRPr="00C7085C" w:rsidRDefault="00E10B11" w:rsidP="00E10B11">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C7085C" w:rsidRPr="00C7085C">
        <w:rPr>
          <w:rFonts w:ascii="Times New Roman" w:hAnsi="Times New Roman" w:cs="Times New Roman"/>
          <w:bCs/>
        </w:rPr>
        <w:t xml:space="preserve">Critically, this was not merely a legal or procedural evolution, but a government turnaround. </w:t>
      </w:r>
      <w:r w:rsidR="009B6E8F" w:rsidRPr="0010176D">
        <w:rPr>
          <w:rFonts w:ascii="Times New Roman" w:hAnsi="Times New Roman" w:cs="Times New Roman"/>
          <w:bCs/>
        </w:rPr>
        <w:t>By a</w:t>
      </w:r>
      <w:r w:rsidR="00C7085C" w:rsidRPr="00C7085C">
        <w:rPr>
          <w:rFonts w:ascii="Times New Roman" w:hAnsi="Times New Roman" w:cs="Times New Roman"/>
          <w:bCs/>
        </w:rPr>
        <w:t>pplying Kotter’s change management framework</w:t>
      </w:r>
      <w:r w:rsidR="009B6E8F" w:rsidRPr="0010176D">
        <w:rPr>
          <w:rFonts w:ascii="Times New Roman" w:hAnsi="Times New Roman" w:cs="Times New Roman"/>
          <w:bCs/>
        </w:rPr>
        <w:t>, this paper</w:t>
      </w:r>
      <w:r w:rsidR="00C7085C" w:rsidRPr="00C7085C">
        <w:rPr>
          <w:rFonts w:ascii="Times New Roman" w:hAnsi="Times New Roman" w:cs="Times New Roman"/>
          <w:bCs/>
        </w:rPr>
        <w:t xml:space="preserve"> illustrate</w:t>
      </w:r>
      <w:r w:rsidR="009B6E8F" w:rsidRPr="0010176D">
        <w:rPr>
          <w:rFonts w:ascii="Times New Roman" w:hAnsi="Times New Roman" w:cs="Times New Roman"/>
          <w:bCs/>
        </w:rPr>
        <w:t>d</w:t>
      </w:r>
      <w:r w:rsidR="00C7085C" w:rsidRPr="00C7085C">
        <w:rPr>
          <w:rFonts w:ascii="Times New Roman" w:hAnsi="Times New Roman" w:cs="Times New Roman"/>
          <w:bCs/>
        </w:rPr>
        <w:t xml:space="preserve"> how </w:t>
      </w:r>
      <w:r w:rsidR="009B6E8F" w:rsidRPr="0010176D">
        <w:rPr>
          <w:rFonts w:ascii="Times New Roman" w:hAnsi="Times New Roman" w:cs="Times New Roman"/>
          <w:bCs/>
        </w:rPr>
        <w:t xml:space="preserve">U.S. </w:t>
      </w:r>
      <w:r w:rsidR="00C7085C" w:rsidRPr="00C7085C">
        <w:rPr>
          <w:rFonts w:ascii="Times New Roman" w:hAnsi="Times New Roman" w:cs="Times New Roman"/>
          <w:bCs/>
        </w:rPr>
        <w:t>Space Force leadership recognized urgency, built cross</w:t>
      </w:r>
      <w:r w:rsidR="00C7085C" w:rsidRPr="00C7085C">
        <w:rPr>
          <w:rFonts w:ascii="Times New Roman" w:hAnsi="Times New Roman" w:cs="Times New Roman"/>
          <w:bCs/>
        </w:rPr>
        <w:noBreakHyphen/>
        <w:t>agency and public</w:t>
      </w:r>
      <w:r w:rsidR="00C7085C" w:rsidRPr="00C7085C">
        <w:rPr>
          <w:rFonts w:ascii="Times New Roman" w:hAnsi="Times New Roman" w:cs="Times New Roman"/>
          <w:bCs/>
        </w:rPr>
        <w:noBreakHyphen/>
        <w:t xml:space="preserve">private coalitions, articulated a simple and compelling vision through the spaceport model, empowered teams to challenge </w:t>
      </w:r>
      <w:r w:rsidR="00836862" w:rsidRPr="0010176D">
        <w:rPr>
          <w:rFonts w:ascii="Times New Roman" w:hAnsi="Times New Roman" w:cs="Times New Roman"/>
          <w:bCs/>
        </w:rPr>
        <w:t xml:space="preserve">and overcome </w:t>
      </w:r>
      <w:r w:rsidR="00C7085C" w:rsidRPr="00C7085C">
        <w:rPr>
          <w:rFonts w:ascii="Times New Roman" w:hAnsi="Times New Roman" w:cs="Times New Roman"/>
          <w:bCs/>
        </w:rPr>
        <w:t>legacy processes, and institutionalized new behaviors that sustained momentum. The cultural shift from a “zero</w:t>
      </w:r>
      <w:r w:rsidR="00C7085C" w:rsidRPr="00C7085C">
        <w:rPr>
          <w:rFonts w:ascii="Times New Roman" w:hAnsi="Times New Roman" w:cs="Times New Roman"/>
          <w:bCs/>
        </w:rPr>
        <w:noBreakHyphen/>
        <w:t>sum” test range to a multi</w:t>
      </w:r>
      <w:r w:rsidR="00C7085C" w:rsidRPr="00C7085C">
        <w:rPr>
          <w:rFonts w:ascii="Times New Roman" w:hAnsi="Times New Roman" w:cs="Times New Roman"/>
          <w:bCs/>
        </w:rPr>
        <w:noBreakHyphen/>
        <w:t>user spaceport</w:t>
      </w:r>
      <w:r w:rsidR="00D833D1" w:rsidRPr="0010176D">
        <w:rPr>
          <w:rFonts w:ascii="Times New Roman" w:hAnsi="Times New Roman" w:cs="Times New Roman"/>
          <w:bCs/>
        </w:rPr>
        <w:t>, as well as a</w:t>
      </w:r>
      <w:r w:rsidR="00C7085C" w:rsidRPr="00C7085C">
        <w:rPr>
          <w:rFonts w:ascii="Times New Roman" w:hAnsi="Times New Roman" w:cs="Times New Roman"/>
          <w:bCs/>
        </w:rPr>
        <w:t xml:space="preserve"> safety culture </w:t>
      </w:r>
      <w:r w:rsidR="00D833D1" w:rsidRPr="0010176D">
        <w:rPr>
          <w:rFonts w:ascii="Times New Roman" w:hAnsi="Times New Roman" w:cs="Times New Roman"/>
          <w:bCs/>
        </w:rPr>
        <w:t xml:space="preserve">shift </w:t>
      </w:r>
      <w:r w:rsidR="00C7085C" w:rsidRPr="00C7085C">
        <w:rPr>
          <w:rFonts w:ascii="Times New Roman" w:hAnsi="Times New Roman" w:cs="Times New Roman"/>
          <w:bCs/>
        </w:rPr>
        <w:t>of “no because” to “yes if</w:t>
      </w:r>
      <w:r w:rsidR="00D833D1" w:rsidRPr="0010176D">
        <w:rPr>
          <w:rFonts w:ascii="Times New Roman" w:hAnsi="Times New Roman" w:cs="Times New Roman"/>
          <w:bCs/>
        </w:rPr>
        <w:t xml:space="preserve">,” </w:t>
      </w:r>
      <w:r w:rsidR="00C7085C" w:rsidRPr="00C7085C">
        <w:rPr>
          <w:rFonts w:ascii="Times New Roman" w:hAnsi="Times New Roman" w:cs="Times New Roman"/>
          <w:bCs/>
        </w:rPr>
        <w:t>w</w:t>
      </w:r>
      <w:r w:rsidR="00D833D1" w:rsidRPr="0010176D">
        <w:rPr>
          <w:rFonts w:ascii="Times New Roman" w:hAnsi="Times New Roman" w:cs="Times New Roman"/>
          <w:bCs/>
        </w:rPr>
        <w:t>ere</w:t>
      </w:r>
      <w:r w:rsidR="00C7085C" w:rsidRPr="00C7085C">
        <w:rPr>
          <w:rFonts w:ascii="Times New Roman" w:hAnsi="Times New Roman" w:cs="Times New Roman"/>
          <w:bCs/>
        </w:rPr>
        <w:t xml:space="preserve"> essential to unlocking capacity </w:t>
      </w:r>
      <w:r w:rsidR="00C7085C" w:rsidRPr="00C7085C">
        <w:rPr>
          <w:rFonts w:ascii="Times New Roman" w:hAnsi="Times New Roman" w:cs="Times New Roman"/>
          <w:bCs/>
        </w:rPr>
        <w:lastRenderedPageBreak/>
        <w:t>while preserving public safety and national security priorities.</w:t>
      </w:r>
    </w:p>
    <w:p w14:paraId="3FF9728B" w14:textId="5DD4C9D2" w:rsidR="00B10408" w:rsidRPr="00C7085C" w:rsidRDefault="00E10B11" w:rsidP="00E10B11">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C7085C" w:rsidRPr="00C7085C">
        <w:rPr>
          <w:rFonts w:ascii="Times New Roman" w:hAnsi="Times New Roman" w:cs="Times New Roman"/>
          <w:bCs/>
        </w:rPr>
        <w:t xml:space="preserve">Yet the </w:t>
      </w:r>
      <w:r w:rsidR="000F45ED" w:rsidRPr="0010176D">
        <w:rPr>
          <w:rFonts w:ascii="Times New Roman" w:hAnsi="Times New Roman" w:cs="Times New Roman"/>
          <w:bCs/>
        </w:rPr>
        <w:t xml:space="preserve">transition </w:t>
      </w:r>
      <w:r w:rsidR="00C7085C" w:rsidRPr="00C7085C">
        <w:rPr>
          <w:rFonts w:ascii="Times New Roman" w:hAnsi="Times New Roman" w:cs="Times New Roman"/>
          <w:bCs/>
        </w:rPr>
        <w:t>remains in</w:t>
      </w:r>
      <w:r w:rsidR="000F45ED" w:rsidRPr="0010176D">
        <w:rPr>
          <w:rFonts w:ascii="Times New Roman" w:hAnsi="Times New Roman" w:cs="Times New Roman"/>
          <w:bCs/>
        </w:rPr>
        <w:t xml:space="preserve"> process</w:t>
      </w:r>
      <w:r w:rsidR="00F1378F" w:rsidRPr="0010176D">
        <w:rPr>
          <w:rFonts w:ascii="Times New Roman" w:hAnsi="Times New Roman" w:cs="Times New Roman"/>
          <w:bCs/>
        </w:rPr>
        <w:t>, and w</w:t>
      </w:r>
      <w:r w:rsidR="00FA5D98" w:rsidRPr="00C7085C">
        <w:rPr>
          <w:rFonts w:ascii="Times New Roman" w:hAnsi="Times New Roman" w:cs="Times New Roman"/>
          <w:bCs/>
        </w:rPr>
        <w:t xml:space="preserve">hile the Space Force successfully adapted </w:t>
      </w:r>
      <w:r w:rsidR="00FA5D98" w:rsidRPr="0010176D">
        <w:rPr>
          <w:rFonts w:ascii="Times New Roman" w:hAnsi="Times New Roman" w:cs="Times New Roman"/>
          <w:bCs/>
        </w:rPr>
        <w:t xml:space="preserve">and achieved </w:t>
      </w:r>
      <w:r w:rsidR="00FA5D98" w:rsidRPr="00C7085C">
        <w:rPr>
          <w:rFonts w:ascii="Times New Roman" w:hAnsi="Times New Roman" w:cs="Times New Roman"/>
          <w:bCs/>
        </w:rPr>
        <w:t>100</w:t>
      </w:r>
      <w:r w:rsidR="00FA5D98" w:rsidRPr="0010176D">
        <w:rPr>
          <w:rFonts w:ascii="Times New Roman" w:hAnsi="Times New Roman" w:cs="Times New Roman"/>
          <w:bCs/>
        </w:rPr>
        <w:t xml:space="preserve"> </w:t>
      </w:r>
      <w:r w:rsidR="00FA5D98" w:rsidRPr="00C7085C">
        <w:rPr>
          <w:rFonts w:ascii="Times New Roman" w:hAnsi="Times New Roman" w:cs="Times New Roman"/>
          <w:bCs/>
        </w:rPr>
        <w:t>launch</w:t>
      </w:r>
      <w:r w:rsidR="00FA5D98" w:rsidRPr="0010176D">
        <w:rPr>
          <w:rFonts w:ascii="Times New Roman" w:hAnsi="Times New Roman" w:cs="Times New Roman"/>
          <w:bCs/>
        </w:rPr>
        <w:t>es per year</w:t>
      </w:r>
      <w:r w:rsidR="00FA5D98" w:rsidRPr="00C7085C">
        <w:rPr>
          <w:rFonts w:ascii="Times New Roman" w:hAnsi="Times New Roman" w:cs="Times New Roman"/>
          <w:bCs/>
        </w:rPr>
        <w:t>, emerging demand suggests the next order of magnitude</w:t>
      </w:r>
      <w:r w:rsidR="00FA5D98" w:rsidRPr="0010176D">
        <w:rPr>
          <w:rFonts w:ascii="Times New Roman" w:hAnsi="Times New Roman" w:cs="Times New Roman"/>
          <w:bCs/>
        </w:rPr>
        <w:t xml:space="preserve"> to 1000 launches per year</w:t>
      </w:r>
      <w:r w:rsidR="00FA5D98" w:rsidRPr="00C7085C">
        <w:rPr>
          <w:rFonts w:ascii="Times New Roman" w:hAnsi="Times New Roman" w:cs="Times New Roman"/>
          <w:bCs/>
        </w:rPr>
        <w:t xml:space="preserve"> will stress the system in</w:t>
      </w:r>
      <w:r w:rsidR="00BE3522" w:rsidRPr="0010176D">
        <w:rPr>
          <w:rFonts w:ascii="Times New Roman" w:hAnsi="Times New Roman" w:cs="Times New Roman"/>
          <w:bCs/>
        </w:rPr>
        <w:t xml:space="preserve"> similar and</w:t>
      </w:r>
      <w:r w:rsidR="00FA5D98" w:rsidRPr="00C7085C">
        <w:rPr>
          <w:rFonts w:ascii="Times New Roman" w:hAnsi="Times New Roman" w:cs="Times New Roman"/>
          <w:bCs/>
        </w:rPr>
        <w:t xml:space="preserve"> new ways. Persistent regulatory friction, infrastructure constraints, fragmented decision authority, and a tendency toward consensus</w:t>
      </w:r>
      <w:r w:rsidR="00FA5D98" w:rsidRPr="00C7085C">
        <w:rPr>
          <w:rFonts w:ascii="Times New Roman" w:hAnsi="Times New Roman" w:cs="Times New Roman"/>
          <w:bCs/>
        </w:rPr>
        <w:noBreakHyphen/>
        <w:t>driven risk avoidance continue to threaten scalability. Moreover, sustaining this new model will depend on leadership continuity, institutionalized incentives, and policies that actively resist regression to legacy behaviors.</w:t>
      </w:r>
      <w:r w:rsidR="00B10408" w:rsidRPr="0010176D">
        <w:rPr>
          <w:rFonts w:ascii="Times New Roman" w:hAnsi="Times New Roman" w:cs="Times New Roman"/>
          <w:bCs/>
        </w:rPr>
        <w:t xml:space="preserve"> </w:t>
      </w:r>
      <w:r w:rsidR="00B10408" w:rsidRPr="00C7085C">
        <w:rPr>
          <w:rFonts w:ascii="Times New Roman" w:hAnsi="Times New Roman" w:cs="Times New Roman"/>
          <w:bCs/>
        </w:rPr>
        <w:t xml:space="preserve">The following policy recommendations focus on how federal institutions can ensure that U.S. spaceports remain capable of supporting the next phase of growth in space </w:t>
      </w:r>
      <w:r w:rsidR="00370A53">
        <w:rPr>
          <w:rFonts w:ascii="Times New Roman" w:hAnsi="Times New Roman" w:cs="Times New Roman"/>
          <w:bCs/>
        </w:rPr>
        <w:t>launch</w:t>
      </w:r>
      <w:r w:rsidR="00B10408" w:rsidRPr="00C7085C">
        <w:rPr>
          <w:rFonts w:ascii="Times New Roman" w:hAnsi="Times New Roman" w:cs="Times New Roman"/>
          <w:bCs/>
        </w:rPr>
        <w:t>.</w:t>
      </w:r>
    </w:p>
    <w:p w14:paraId="15F3E5E9" w14:textId="5FAC0CA5" w:rsidR="00FA5D98" w:rsidRPr="0010176D" w:rsidRDefault="00FA5D98" w:rsidP="00E10B11">
      <w:pPr>
        <w:widowControl w:val="0"/>
        <w:tabs>
          <w:tab w:val="left" w:pos="270"/>
        </w:tabs>
        <w:autoSpaceDE w:val="0"/>
        <w:autoSpaceDN w:val="0"/>
        <w:spacing w:after="0" w:line="480" w:lineRule="auto"/>
        <w:rPr>
          <w:rFonts w:ascii="Times New Roman" w:hAnsi="Times New Roman" w:cs="Times New Roman"/>
          <w:bCs/>
        </w:rPr>
      </w:pPr>
    </w:p>
    <w:p w14:paraId="4A4984C6" w14:textId="77777777" w:rsidR="00D7259E" w:rsidRPr="0010176D" w:rsidRDefault="00D7259E" w:rsidP="00E10B11">
      <w:pPr>
        <w:widowControl w:val="0"/>
        <w:tabs>
          <w:tab w:val="left" w:pos="270"/>
        </w:tabs>
        <w:autoSpaceDE w:val="0"/>
        <w:autoSpaceDN w:val="0"/>
        <w:spacing w:after="0" w:line="480" w:lineRule="auto"/>
        <w:rPr>
          <w:rFonts w:ascii="Times New Roman" w:hAnsi="Times New Roman" w:cs="Times New Roman"/>
          <w:bCs/>
        </w:rPr>
      </w:pPr>
      <w:r w:rsidRPr="0010176D">
        <w:rPr>
          <w:rFonts w:ascii="Times New Roman" w:hAnsi="Times New Roman" w:cs="Times New Roman"/>
          <w:b/>
        </w:rPr>
        <w:t>Policy Recommendation 1: Consolidate Spaceport Decision Authority Under a Single Federal Spaceport Executive</w:t>
      </w:r>
    </w:p>
    <w:p w14:paraId="52F810F0" w14:textId="161DA3FA" w:rsidR="00FA5D98" w:rsidRPr="0010176D" w:rsidRDefault="00E10B11" w:rsidP="00E10B11">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D7259E" w:rsidRPr="0010176D">
        <w:rPr>
          <w:rFonts w:ascii="Times New Roman" w:hAnsi="Times New Roman" w:cs="Times New Roman"/>
          <w:bCs/>
        </w:rPr>
        <w:t xml:space="preserve">As launch cadence increased, fragmented </w:t>
      </w:r>
      <w:proofErr w:type="gramStart"/>
      <w:r w:rsidR="00D7259E" w:rsidRPr="0010176D">
        <w:rPr>
          <w:rFonts w:ascii="Times New Roman" w:hAnsi="Times New Roman" w:cs="Times New Roman"/>
          <w:bCs/>
        </w:rPr>
        <w:t>authority</w:t>
      </w:r>
      <w:proofErr w:type="gramEnd"/>
      <w:r w:rsidR="00D7259E" w:rsidRPr="0010176D">
        <w:rPr>
          <w:rFonts w:ascii="Times New Roman" w:hAnsi="Times New Roman" w:cs="Times New Roman"/>
          <w:bCs/>
        </w:rPr>
        <w:t xml:space="preserve"> across the Space Force, FAA, NASA, and state/local regulators created coordination delays and </w:t>
      </w:r>
      <w:r w:rsidR="00B474B0" w:rsidRPr="0010176D">
        <w:rPr>
          <w:rFonts w:ascii="Times New Roman" w:hAnsi="Times New Roman" w:cs="Times New Roman"/>
          <w:bCs/>
        </w:rPr>
        <w:t xml:space="preserve">led to inefficient seams </w:t>
      </w:r>
      <w:r w:rsidR="00460ECB" w:rsidRPr="0010176D">
        <w:rPr>
          <w:rFonts w:ascii="Times New Roman" w:hAnsi="Times New Roman" w:cs="Times New Roman"/>
          <w:bCs/>
        </w:rPr>
        <w:t>as well as</w:t>
      </w:r>
      <w:r w:rsidR="00B474B0" w:rsidRPr="0010176D">
        <w:rPr>
          <w:rFonts w:ascii="Times New Roman" w:hAnsi="Times New Roman" w:cs="Times New Roman"/>
          <w:bCs/>
        </w:rPr>
        <w:t xml:space="preserve"> duplication of effort</w:t>
      </w:r>
      <w:r w:rsidR="00D7259E" w:rsidRPr="0010176D">
        <w:rPr>
          <w:rFonts w:ascii="Times New Roman" w:hAnsi="Times New Roman" w:cs="Times New Roman"/>
          <w:bCs/>
        </w:rPr>
        <w:t>.</w:t>
      </w:r>
      <w:r w:rsidR="00D7259E" w:rsidRPr="0010176D">
        <w:rPr>
          <w:rStyle w:val="FootnoteReference"/>
          <w:rFonts w:ascii="Times New Roman" w:hAnsi="Times New Roman" w:cs="Times New Roman"/>
          <w:bCs/>
        </w:rPr>
        <w:footnoteReference w:id="63"/>
      </w:r>
      <w:r w:rsidR="00C122EF" w:rsidRPr="0010176D">
        <w:rPr>
          <w:rFonts w:ascii="Times New Roman" w:hAnsi="Times New Roman" w:cs="Times New Roman"/>
          <w:bCs/>
        </w:rPr>
        <w:t xml:space="preserve"> </w:t>
      </w:r>
      <w:r w:rsidR="00886FB7" w:rsidRPr="0010176D">
        <w:rPr>
          <w:rFonts w:ascii="Times New Roman" w:hAnsi="Times New Roman" w:cs="Times New Roman"/>
          <w:bCs/>
        </w:rPr>
        <w:t>D</w:t>
      </w:r>
      <w:r w:rsidR="00D7259E" w:rsidRPr="0010176D">
        <w:rPr>
          <w:rFonts w:ascii="Times New Roman" w:hAnsi="Times New Roman" w:cs="Times New Roman"/>
          <w:bCs/>
        </w:rPr>
        <w:t>ecision speed</w:t>
      </w:r>
      <w:r w:rsidR="00886FB7" w:rsidRPr="0010176D">
        <w:rPr>
          <w:rFonts w:ascii="Times New Roman" w:hAnsi="Times New Roman" w:cs="Times New Roman"/>
          <w:bCs/>
        </w:rPr>
        <w:t xml:space="preserve"> and bureaucratic processes</w:t>
      </w:r>
      <w:r w:rsidR="00D7259E" w:rsidRPr="0010176D">
        <w:rPr>
          <w:rFonts w:ascii="Times New Roman" w:hAnsi="Times New Roman" w:cs="Times New Roman"/>
          <w:bCs/>
        </w:rPr>
        <w:t xml:space="preserve"> still lag operational demand.</w:t>
      </w:r>
      <w:r w:rsidR="00DF3D04" w:rsidRPr="0010176D">
        <w:rPr>
          <w:rFonts w:ascii="Times New Roman" w:hAnsi="Times New Roman" w:cs="Times New Roman"/>
          <w:bCs/>
        </w:rPr>
        <w:t xml:space="preserve"> Going forward, </w:t>
      </w:r>
      <w:r w:rsidR="00D7259E" w:rsidRPr="0010176D">
        <w:rPr>
          <w:rFonts w:ascii="Times New Roman" w:hAnsi="Times New Roman" w:cs="Times New Roman"/>
          <w:bCs/>
        </w:rPr>
        <w:t>Congress should authorize</w:t>
      </w:r>
      <w:r w:rsidR="00321E1D" w:rsidRPr="0010176D">
        <w:rPr>
          <w:rFonts w:ascii="Times New Roman" w:hAnsi="Times New Roman" w:cs="Times New Roman"/>
          <w:bCs/>
        </w:rPr>
        <w:t xml:space="preserve"> a</w:t>
      </w:r>
      <w:r w:rsidR="00D7259E" w:rsidRPr="0010176D">
        <w:rPr>
          <w:rFonts w:ascii="Times New Roman" w:hAnsi="Times New Roman" w:cs="Times New Roman"/>
          <w:bCs/>
        </w:rPr>
        <w:t xml:space="preserve"> designated Federal Spaceport Executive with delegated authority to adjudicate spaceport-level decisions affecting launch scheduling, pad allocation, range conflicts, and infrastructure prioritization across federal ranges.</w:t>
      </w:r>
      <w:r w:rsidR="00820114" w:rsidRPr="0010176D">
        <w:rPr>
          <w:rFonts w:ascii="Times New Roman" w:hAnsi="Times New Roman" w:cs="Times New Roman"/>
          <w:bCs/>
        </w:rPr>
        <w:t xml:space="preserve"> This effort should continue and expand upon the work of the National Spaceport Interagency Working Group</w:t>
      </w:r>
      <w:r w:rsidR="00CE45EB" w:rsidRPr="0010176D">
        <w:rPr>
          <w:rFonts w:ascii="Times New Roman" w:hAnsi="Times New Roman" w:cs="Times New Roman"/>
          <w:bCs/>
        </w:rPr>
        <w:t>.</w:t>
      </w:r>
      <w:r w:rsidR="00CE45EB" w:rsidRPr="0010176D">
        <w:rPr>
          <w:rStyle w:val="FootnoteReference"/>
          <w:rFonts w:ascii="Times New Roman" w:hAnsi="Times New Roman" w:cs="Times New Roman"/>
          <w:bCs/>
        </w:rPr>
        <w:footnoteReference w:id="64"/>
      </w:r>
      <w:r w:rsidR="00435E48" w:rsidRPr="0010176D">
        <w:rPr>
          <w:rFonts w:ascii="Times New Roman" w:hAnsi="Times New Roman" w:cs="Times New Roman"/>
          <w:bCs/>
        </w:rPr>
        <w:t xml:space="preserve"> </w:t>
      </w:r>
      <w:r w:rsidR="007869E3" w:rsidRPr="0010176D">
        <w:rPr>
          <w:rFonts w:ascii="Times New Roman" w:hAnsi="Times New Roman" w:cs="Times New Roman"/>
          <w:bCs/>
        </w:rPr>
        <w:t xml:space="preserve">As described </w:t>
      </w:r>
      <w:r w:rsidR="00FC1E6A" w:rsidRPr="0010176D">
        <w:rPr>
          <w:rFonts w:ascii="Times New Roman" w:hAnsi="Times New Roman" w:cs="Times New Roman"/>
          <w:bCs/>
        </w:rPr>
        <w:t>in</w:t>
      </w:r>
      <w:r w:rsidR="00B71929" w:rsidRPr="0010176D">
        <w:rPr>
          <w:rFonts w:ascii="Times New Roman" w:hAnsi="Times New Roman" w:cs="Times New Roman"/>
          <w:bCs/>
        </w:rPr>
        <w:t xml:space="preserve"> the section covering</w:t>
      </w:r>
      <w:r w:rsidR="00B734AB" w:rsidRPr="0010176D">
        <w:rPr>
          <w:rFonts w:ascii="Times New Roman" w:hAnsi="Times New Roman" w:cs="Times New Roman"/>
          <w:bCs/>
        </w:rPr>
        <w:t xml:space="preserve"> Step 6</w:t>
      </w:r>
      <w:r w:rsidR="007869E3" w:rsidRPr="0010176D">
        <w:rPr>
          <w:rFonts w:ascii="Times New Roman" w:hAnsi="Times New Roman" w:cs="Times New Roman"/>
          <w:bCs/>
        </w:rPr>
        <w:t xml:space="preserve"> of the Kotter model</w:t>
      </w:r>
      <w:r w:rsidR="00B734AB" w:rsidRPr="0010176D">
        <w:rPr>
          <w:rFonts w:ascii="Times New Roman" w:hAnsi="Times New Roman" w:cs="Times New Roman"/>
          <w:bCs/>
        </w:rPr>
        <w:t xml:space="preserve">, this report showed how </w:t>
      </w:r>
      <w:r w:rsidR="00B734AB" w:rsidRPr="0010176D">
        <w:rPr>
          <w:rFonts w:ascii="Times New Roman" w:hAnsi="Times New Roman" w:cs="Times New Roman"/>
          <w:bCs/>
        </w:rPr>
        <w:lastRenderedPageBreak/>
        <w:t xml:space="preserve">a </w:t>
      </w:r>
      <w:r w:rsidR="00D7259E" w:rsidRPr="0010176D">
        <w:rPr>
          <w:rFonts w:ascii="Times New Roman" w:hAnsi="Times New Roman" w:cs="Times New Roman"/>
          <w:bCs/>
        </w:rPr>
        <w:t xml:space="preserve">“one leader, one voice” consolidation under AATS </w:t>
      </w:r>
      <w:r w:rsidR="00B734AB" w:rsidRPr="0010176D">
        <w:rPr>
          <w:rFonts w:ascii="Times New Roman" w:hAnsi="Times New Roman" w:cs="Times New Roman"/>
          <w:bCs/>
        </w:rPr>
        <w:t xml:space="preserve">was a key contributor to </w:t>
      </w:r>
      <w:r w:rsidR="00D7259E" w:rsidRPr="0010176D">
        <w:rPr>
          <w:rFonts w:ascii="Times New Roman" w:hAnsi="Times New Roman" w:cs="Times New Roman"/>
          <w:bCs/>
        </w:rPr>
        <w:t>breaking inertia</w:t>
      </w:r>
      <w:r w:rsidR="00B734AB" w:rsidRPr="0010176D">
        <w:rPr>
          <w:rFonts w:ascii="Times New Roman" w:hAnsi="Times New Roman" w:cs="Times New Roman"/>
          <w:bCs/>
        </w:rPr>
        <w:t xml:space="preserve"> and </w:t>
      </w:r>
      <w:r w:rsidR="00D2431B" w:rsidRPr="0010176D">
        <w:rPr>
          <w:rFonts w:ascii="Times New Roman" w:hAnsi="Times New Roman" w:cs="Times New Roman"/>
          <w:bCs/>
        </w:rPr>
        <w:t>achieving result</w:t>
      </w:r>
      <w:r w:rsidR="00FC1E6A" w:rsidRPr="0010176D">
        <w:rPr>
          <w:rFonts w:ascii="Times New Roman" w:hAnsi="Times New Roman" w:cs="Times New Roman"/>
          <w:bCs/>
        </w:rPr>
        <w:t>s</w:t>
      </w:r>
      <w:r w:rsidR="00D2431B" w:rsidRPr="0010176D">
        <w:rPr>
          <w:rFonts w:ascii="Times New Roman" w:hAnsi="Times New Roman" w:cs="Times New Roman"/>
          <w:bCs/>
        </w:rPr>
        <w:t xml:space="preserve">. </w:t>
      </w:r>
      <w:r w:rsidR="00D7259E" w:rsidRPr="0010176D">
        <w:rPr>
          <w:rFonts w:ascii="Times New Roman" w:hAnsi="Times New Roman" w:cs="Times New Roman"/>
          <w:bCs/>
        </w:rPr>
        <w:t>Extending this principle to</w:t>
      </w:r>
      <w:r w:rsidR="00FC1E6A" w:rsidRPr="0010176D">
        <w:rPr>
          <w:rFonts w:ascii="Times New Roman" w:hAnsi="Times New Roman" w:cs="Times New Roman"/>
          <w:bCs/>
        </w:rPr>
        <w:t xml:space="preserve"> an</w:t>
      </w:r>
      <w:r w:rsidR="00D7259E" w:rsidRPr="0010176D">
        <w:rPr>
          <w:rFonts w:ascii="Times New Roman" w:hAnsi="Times New Roman" w:cs="Times New Roman"/>
          <w:bCs/>
        </w:rPr>
        <w:t xml:space="preserve"> interagency spaceport governance</w:t>
      </w:r>
      <w:r w:rsidR="00FC1E6A" w:rsidRPr="0010176D">
        <w:rPr>
          <w:rFonts w:ascii="Times New Roman" w:hAnsi="Times New Roman" w:cs="Times New Roman"/>
          <w:bCs/>
        </w:rPr>
        <w:t xml:space="preserve"> model</w:t>
      </w:r>
      <w:r w:rsidR="00D7259E" w:rsidRPr="0010176D">
        <w:rPr>
          <w:rFonts w:ascii="Times New Roman" w:hAnsi="Times New Roman" w:cs="Times New Roman"/>
          <w:bCs/>
        </w:rPr>
        <w:t xml:space="preserve"> </w:t>
      </w:r>
      <w:r w:rsidR="00FC1E6A" w:rsidRPr="0010176D">
        <w:rPr>
          <w:rFonts w:ascii="Times New Roman" w:hAnsi="Times New Roman" w:cs="Times New Roman"/>
          <w:bCs/>
        </w:rPr>
        <w:t xml:space="preserve">enables more effective decision making and serves as a </w:t>
      </w:r>
      <w:r w:rsidR="00A90450" w:rsidRPr="0010176D">
        <w:rPr>
          <w:rFonts w:ascii="Times New Roman" w:hAnsi="Times New Roman" w:cs="Times New Roman"/>
          <w:bCs/>
        </w:rPr>
        <w:t>coordinating body to establish and assign</w:t>
      </w:r>
      <w:r w:rsidR="00D7259E" w:rsidRPr="0010176D">
        <w:rPr>
          <w:rFonts w:ascii="Times New Roman" w:hAnsi="Times New Roman" w:cs="Times New Roman"/>
          <w:bCs/>
        </w:rPr>
        <w:t xml:space="preserve"> accountability. This role would not replace statutory </w:t>
      </w:r>
      <w:proofErr w:type="gramStart"/>
      <w:r w:rsidR="00D7259E" w:rsidRPr="0010176D">
        <w:rPr>
          <w:rFonts w:ascii="Times New Roman" w:hAnsi="Times New Roman" w:cs="Times New Roman"/>
          <w:bCs/>
        </w:rPr>
        <w:t>authorities, but</w:t>
      </w:r>
      <w:proofErr w:type="gramEnd"/>
      <w:r w:rsidR="00D7259E" w:rsidRPr="0010176D">
        <w:rPr>
          <w:rFonts w:ascii="Times New Roman" w:hAnsi="Times New Roman" w:cs="Times New Roman"/>
          <w:bCs/>
        </w:rPr>
        <w:t xml:space="preserve"> would act as an empowered integrator</w:t>
      </w:r>
      <w:r w:rsidR="00A90450" w:rsidRPr="0010176D">
        <w:rPr>
          <w:rFonts w:ascii="Times New Roman" w:hAnsi="Times New Roman" w:cs="Times New Roman"/>
          <w:bCs/>
        </w:rPr>
        <w:t xml:space="preserve"> </w:t>
      </w:r>
      <w:r w:rsidR="00D7259E" w:rsidRPr="0010176D">
        <w:rPr>
          <w:rFonts w:ascii="Times New Roman" w:hAnsi="Times New Roman" w:cs="Times New Roman"/>
          <w:bCs/>
        </w:rPr>
        <w:t>capable of resolving conflicts when competing equities stall decision-making.</w:t>
      </w:r>
    </w:p>
    <w:p w14:paraId="746FAF2F" w14:textId="77777777" w:rsidR="00FA5D98" w:rsidRPr="0010176D" w:rsidRDefault="00FA5D98" w:rsidP="00E10B11">
      <w:pPr>
        <w:widowControl w:val="0"/>
        <w:tabs>
          <w:tab w:val="left" w:pos="270"/>
        </w:tabs>
        <w:autoSpaceDE w:val="0"/>
        <w:autoSpaceDN w:val="0"/>
        <w:spacing w:after="0" w:line="480" w:lineRule="auto"/>
        <w:rPr>
          <w:rFonts w:ascii="Times New Roman" w:hAnsi="Times New Roman" w:cs="Times New Roman"/>
          <w:bCs/>
        </w:rPr>
      </w:pPr>
    </w:p>
    <w:p w14:paraId="1028E52B" w14:textId="62DFAB0C" w:rsidR="00D74E57" w:rsidRPr="0010176D" w:rsidRDefault="00D74E57" w:rsidP="00E10B11">
      <w:pPr>
        <w:widowControl w:val="0"/>
        <w:tabs>
          <w:tab w:val="left" w:pos="270"/>
        </w:tabs>
        <w:autoSpaceDE w:val="0"/>
        <w:autoSpaceDN w:val="0"/>
        <w:spacing w:after="0" w:line="480" w:lineRule="auto"/>
        <w:rPr>
          <w:rFonts w:ascii="Times New Roman" w:hAnsi="Times New Roman" w:cs="Times New Roman"/>
          <w:b/>
          <w:bCs/>
        </w:rPr>
      </w:pPr>
      <w:r w:rsidRPr="00D74E57">
        <w:rPr>
          <w:rFonts w:ascii="Times New Roman" w:hAnsi="Times New Roman" w:cs="Times New Roman"/>
          <w:b/>
          <w:bCs/>
        </w:rPr>
        <w:t xml:space="preserve">Policy Recommendation </w:t>
      </w:r>
      <w:r w:rsidRPr="0010176D">
        <w:rPr>
          <w:rFonts w:ascii="Times New Roman" w:hAnsi="Times New Roman" w:cs="Times New Roman"/>
          <w:b/>
          <w:bCs/>
        </w:rPr>
        <w:t>2</w:t>
      </w:r>
      <w:r w:rsidRPr="00D74E57">
        <w:rPr>
          <w:rFonts w:ascii="Times New Roman" w:hAnsi="Times New Roman" w:cs="Times New Roman"/>
          <w:b/>
          <w:bCs/>
        </w:rPr>
        <w:t>: Codify Infrastructure Cost Recovery and Reinvestment as a Standing Spaceport Modernization Fund</w:t>
      </w:r>
    </w:p>
    <w:p w14:paraId="1449D72F" w14:textId="08FBB4FE" w:rsidR="00D74E57" w:rsidRPr="00D74E57" w:rsidRDefault="00E10B11" w:rsidP="00E10B11">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D74E57" w:rsidRPr="00D74E57">
        <w:rPr>
          <w:rFonts w:ascii="Times New Roman" w:hAnsi="Times New Roman" w:cs="Times New Roman"/>
          <w:bCs/>
        </w:rPr>
        <w:t xml:space="preserve">While </w:t>
      </w:r>
      <w:r w:rsidR="004C4E03" w:rsidRPr="0010176D">
        <w:rPr>
          <w:rFonts w:ascii="Times New Roman" w:hAnsi="Times New Roman" w:cs="Times New Roman"/>
          <w:bCs/>
        </w:rPr>
        <w:t>current</w:t>
      </w:r>
      <w:r w:rsidR="00D74E57" w:rsidRPr="00D74E57">
        <w:rPr>
          <w:rFonts w:ascii="Times New Roman" w:hAnsi="Times New Roman" w:cs="Times New Roman"/>
          <w:bCs/>
        </w:rPr>
        <w:t xml:space="preserve"> authorities </w:t>
      </w:r>
      <w:r w:rsidR="004C4E03" w:rsidRPr="0010176D">
        <w:rPr>
          <w:rFonts w:ascii="Times New Roman" w:hAnsi="Times New Roman" w:cs="Times New Roman"/>
          <w:bCs/>
        </w:rPr>
        <w:t>have made steps toward federal launch site</w:t>
      </w:r>
      <w:r w:rsidR="00D74E57" w:rsidRPr="00D74E57">
        <w:rPr>
          <w:rFonts w:ascii="Times New Roman" w:hAnsi="Times New Roman" w:cs="Times New Roman"/>
          <w:bCs/>
        </w:rPr>
        <w:t xml:space="preserve"> cost recovery and private investment, infrastructure funding remains politically fragile and dependent on extraordinary advocacy campaigns.</w:t>
      </w:r>
      <w:r w:rsidR="004C4E03" w:rsidRPr="0010176D">
        <w:rPr>
          <w:rFonts w:ascii="Times New Roman" w:hAnsi="Times New Roman" w:cs="Times New Roman"/>
          <w:bCs/>
        </w:rPr>
        <w:t xml:space="preserve"> </w:t>
      </w:r>
      <w:r w:rsidR="00D74E57" w:rsidRPr="00D74E57">
        <w:rPr>
          <w:rFonts w:ascii="Times New Roman" w:hAnsi="Times New Roman" w:cs="Times New Roman"/>
          <w:bCs/>
        </w:rPr>
        <w:t>Congress should establish a permanent Spaceport Modernization Fund, capitalized through a combination o</w:t>
      </w:r>
      <w:r w:rsidR="00E35F40" w:rsidRPr="0010176D">
        <w:rPr>
          <w:rFonts w:ascii="Times New Roman" w:hAnsi="Times New Roman" w:cs="Times New Roman"/>
          <w:bCs/>
        </w:rPr>
        <w:t>f d</w:t>
      </w:r>
      <w:r w:rsidR="00D74E57" w:rsidRPr="00D74E57">
        <w:rPr>
          <w:rFonts w:ascii="Times New Roman" w:hAnsi="Times New Roman" w:cs="Times New Roman"/>
          <w:bCs/>
        </w:rPr>
        <w:t>irect and indirect cost recovery from commercial users</w:t>
      </w:r>
      <w:r w:rsidR="00E35F40" w:rsidRPr="0010176D">
        <w:rPr>
          <w:rFonts w:ascii="Times New Roman" w:hAnsi="Times New Roman" w:cs="Times New Roman"/>
          <w:bCs/>
        </w:rPr>
        <w:t>, m</w:t>
      </w:r>
      <w:r w:rsidR="00D74E57" w:rsidRPr="00D74E57">
        <w:rPr>
          <w:rFonts w:ascii="Times New Roman" w:hAnsi="Times New Roman" w:cs="Times New Roman"/>
          <w:bCs/>
        </w:rPr>
        <w:t>ulti</w:t>
      </w:r>
      <w:r w:rsidR="00D74E57" w:rsidRPr="00D74E57">
        <w:rPr>
          <w:rFonts w:ascii="Times New Roman" w:hAnsi="Times New Roman" w:cs="Times New Roman"/>
          <w:bCs/>
        </w:rPr>
        <w:noBreakHyphen/>
        <w:t>year federal appropriations</w:t>
      </w:r>
      <w:r w:rsidR="00E35F40" w:rsidRPr="0010176D">
        <w:rPr>
          <w:rFonts w:ascii="Times New Roman" w:hAnsi="Times New Roman" w:cs="Times New Roman"/>
          <w:bCs/>
        </w:rPr>
        <w:t xml:space="preserve">, and the </w:t>
      </w:r>
      <w:r w:rsidR="00771EE9" w:rsidRPr="0010176D">
        <w:rPr>
          <w:rFonts w:ascii="Times New Roman" w:hAnsi="Times New Roman" w:cs="Times New Roman"/>
          <w:bCs/>
        </w:rPr>
        <w:t>a</w:t>
      </w:r>
      <w:r w:rsidR="00D74E57" w:rsidRPr="00D74E57">
        <w:rPr>
          <w:rFonts w:ascii="Times New Roman" w:hAnsi="Times New Roman" w:cs="Times New Roman"/>
          <w:bCs/>
        </w:rPr>
        <w:t xml:space="preserve">uthority to retain and reinvest collected fees locally at the </w:t>
      </w:r>
      <w:r w:rsidR="00771EE9" w:rsidRPr="0010176D">
        <w:rPr>
          <w:rFonts w:ascii="Times New Roman" w:hAnsi="Times New Roman" w:cs="Times New Roman"/>
          <w:bCs/>
        </w:rPr>
        <w:t xml:space="preserve">individual </w:t>
      </w:r>
      <w:r w:rsidR="00D74E57" w:rsidRPr="00D74E57">
        <w:rPr>
          <w:rFonts w:ascii="Times New Roman" w:hAnsi="Times New Roman" w:cs="Times New Roman"/>
          <w:bCs/>
        </w:rPr>
        <w:t>spaceport level</w:t>
      </w:r>
      <w:r w:rsidR="00771EE9" w:rsidRPr="0010176D">
        <w:rPr>
          <w:rFonts w:ascii="Times New Roman" w:hAnsi="Times New Roman" w:cs="Times New Roman"/>
          <w:bCs/>
        </w:rPr>
        <w:t xml:space="preserve">. </w:t>
      </w:r>
      <w:r w:rsidR="000C25C3" w:rsidRPr="00D74E57">
        <w:rPr>
          <w:rFonts w:ascii="Times New Roman" w:hAnsi="Times New Roman" w:cs="Times New Roman"/>
          <w:bCs/>
        </w:rPr>
        <w:t>Treating spaceports as enduring national infrastructure, rather than programmatic line items, aligns incentives and stabilizes planning horizons. This recommendation builds directly on the success of cost-sharing under Section</w:t>
      </w:r>
      <w:r w:rsidR="001D6042" w:rsidRPr="0010176D">
        <w:rPr>
          <w:rFonts w:ascii="Times New Roman" w:hAnsi="Times New Roman" w:cs="Times New Roman"/>
          <w:bCs/>
        </w:rPr>
        <w:t xml:space="preserve"> </w:t>
      </w:r>
      <w:r w:rsidR="000C25C3" w:rsidRPr="00D74E57">
        <w:rPr>
          <w:rFonts w:ascii="Times New Roman" w:hAnsi="Times New Roman" w:cs="Times New Roman"/>
          <w:bCs/>
        </w:rPr>
        <w:t>2276a, while preventing regression to underfunded</w:t>
      </w:r>
      <w:r w:rsidR="001D6042" w:rsidRPr="0010176D">
        <w:rPr>
          <w:rFonts w:ascii="Times New Roman" w:hAnsi="Times New Roman" w:cs="Times New Roman"/>
          <w:bCs/>
        </w:rPr>
        <w:t xml:space="preserve"> and reactive infrastructure </w:t>
      </w:r>
      <w:r w:rsidR="000C25C3" w:rsidRPr="00D74E57">
        <w:rPr>
          <w:rFonts w:ascii="Times New Roman" w:hAnsi="Times New Roman" w:cs="Times New Roman"/>
          <w:bCs/>
        </w:rPr>
        <w:t>sustainment models.</w:t>
      </w:r>
      <w:r w:rsidR="00225167" w:rsidRPr="0010176D">
        <w:rPr>
          <w:rFonts w:ascii="Times New Roman" w:hAnsi="Times New Roman" w:cs="Times New Roman"/>
          <w:bCs/>
        </w:rPr>
        <w:t xml:space="preserve"> Unless the government </w:t>
      </w:r>
      <w:r w:rsidR="001D6042" w:rsidRPr="0010176D">
        <w:rPr>
          <w:rFonts w:ascii="Times New Roman" w:hAnsi="Times New Roman" w:cs="Times New Roman"/>
          <w:bCs/>
        </w:rPr>
        <w:t>harness</w:t>
      </w:r>
      <w:r w:rsidR="003C7D7F" w:rsidRPr="0010176D">
        <w:rPr>
          <w:rFonts w:ascii="Times New Roman" w:hAnsi="Times New Roman" w:cs="Times New Roman"/>
          <w:bCs/>
        </w:rPr>
        <w:t>es</w:t>
      </w:r>
      <w:r w:rsidR="001D6042" w:rsidRPr="0010176D">
        <w:rPr>
          <w:rFonts w:ascii="Times New Roman" w:hAnsi="Times New Roman" w:cs="Times New Roman"/>
          <w:bCs/>
        </w:rPr>
        <w:t xml:space="preserve"> industry’s ability to build launch infrastructure at speed and at scale, i</w:t>
      </w:r>
      <w:r w:rsidR="00D74E57" w:rsidRPr="00D74E57">
        <w:rPr>
          <w:rFonts w:ascii="Times New Roman" w:hAnsi="Times New Roman" w:cs="Times New Roman"/>
          <w:bCs/>
        </w:rPr>
        <w:t>nfrastructure—not launch vehicles</w:t>
      </w:r>
      <w:r w:rsidR="00F77CB8" w:rsidRPr="0010176D">
        <w:rPr>
          <w:rFonts w:ascii="Times New Roman" w:hAnsi="Times New Roman" w:cs="Times New Roman"/>
          <w:bCs/>
        </w:rPr>
        <w:t xml:space="preserve"> or satellites or personnel</w:t>
      </w:r>
      <w:r w:rsidR="00D74E57" w:rsidRPr="00D74E57">
        <w:rPr>
          <w:rFonts w:ascii="Times New Roman" w:hAnsi="Times New Roman" w:cs="Times New Roman"/>
          <w:bCs/>
        </w:rPr>
        <w:t>—</w:t>
      </w:r>
      <w:r w:rsidR="001D6042" w:rsidRPr="0010176D">
        <w:rPr>
          <w:rFonts w:ascii="Times New Roman" w:hAnsi="Times New Roman" w:cs="Times New Roman"/>
          <w:bCs/>
        </w:rPr>
        <w:t>will be</w:t>
      </w:r>
      <w:r w:rsidR="00D74E57" w:rsidRPr="00D74E57">
        <w:rPr>
          <w:rFonts w:ascii="Times New Roman" w:hAnsi="Times New Roman" w:cs="Times New Roman"/>
          <w:bCs/>
        </w:rPr>
        <w:t xml:space="preserve"> the limiting factor </w:t>
      </w:r>
      <w:r w:rsidR="008C4006" w:rsidRPr="0010176D">
        <w:rPr>
          <w:rFonts w:ascii="Times New Roman" w:hAnsi="Times New Roman" w:cs="Times New Roman"/>
          <w:bCs/>
        </w:rPr>
        <w:t xml:space="preserve">in scaling from 100 to 1000 launches per year. </w:t>
      </w:r>
    </w:p>
    <w:p w14:paraId="5D31290F" w14:textId="77777777" w:rsidR="00D74E57" w:rsidRPr="0010176D" w:rsidRDefault="00D74E57" w:rsidP="00E10B11">
      <w:pPr>
        <w:widowControl w:val="0"/>
        <w:tabs>
          <w:tab w:val="left" w:pos="270"/>
        </w:tabs>
        <w:autoSpaceDE w:val="0"/>
        <w:autoSpaceDN w:val="0"/>
        <w:spacing w:after="0" w:line="480" w:lineRule="auto"/>
        <w:rPr>
          <w:rFonts w:ascii="Times New Roman" w:hAnsi="Times New Roman" w:cs="Times New Roman"/>
          <w:bCs/>
        </w:rPr>
      </w:pPr>
    </w:p>
    <w:p w14:paraId="60063671" w14:textId="657C7213" w:rsidR="00FF5C9B" w:rsidRPr="00FF5C9B" w:rsidRDefault="00FF5C9B" w:rsidP="00E10B11">
      <w:pPr>
        <w:widowControl w:val="0"/>
        <w:tabs>
          <w:tab w:val="left" w:pos="270"/>
        </w:tabs>
        <w:autoSpaceDE w:val="0"/>
        <w:autoSpaceDN w:val="0"/>
        <w:spacing w:after="0" w:line="480" w:lineRule="auto"/>
        <w:rPr>
          <w:rFonts w:ascii="Times New Roman" w:hAnsi="Times New Roman" w:cs="Times New Roman"/>
          <w:b/>
          <w:bCs/>
        </w:rPr>
      </w:pPr>
      <w:r w:rsidRPr="00FF5C9B">
        <w:rPr>
          <w:rFonts w:ascii="Times New Roman" w:hAnsi="Times New Roman" w:cs="Times New Roman"/>
          <w:b/>
          <w:bCs/>
        </w:rPr>
        <w:t xml:space="preserve">Policy Recommendation </w:t>
      </w:r>
      <w:r w:rsidRPr="0010176D">
        <w:rPr>
          <w:rFonts w:ascii="Times New Roman" w:hAnsi="Times New Roman" w:cs="Times New Roman"/>
          <w:b/>
          <w:bCs/>
        </w:rPr>
        <w:t>3</w:t>
      </w:r>
      <w:r w:rsidRPr="00FF5C9B">
        <w:rPr>
          <w:rFonts w:ascii="Times New Roman" w:hAnsi="Times New Roman" w:cs="Times New Roman"/>
          <w:b/>
          <w:bCs/>
        </w:rPr>
        <w:t>: Align Leadership Selection to Spaceport Management Competence, Not Staff Breadth</w:t>
      </w:r>
    </w:p>
    <w:p w14:paraId="2B72FA3C" w14:textId="5543C8A2" w:rsidR="00F432CD" w:rsidRPr="00FF5C9B" w:rsidRDefault="00E10B11" w:rsidP="00E10B11">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lastRenderedPageBreak/>
        <w:tab/>
      </w:r>
      <w:r>
        <w:rPr>
          <w:rFonts w:ascii="Times New Roman" w:hAnsi="Times New Roman" w:cs="Times New Roman"/>
          <w:bCs/>
        </w:rPr>
        <w:tab/>
      </w:r>
      <w:r w:rsidR="00FF5C9B" w:rsidRPr="00FF5C9B">
        <w:rPr>
          <w:rFonts w:ascii="Times New Roman" w:hAnsi="Times New Roman" w:cs="Times New Roman"/>
          <w:bCs/>
        </w:rPr>
        <w:t xml:space="preserve">The </w:t>
      </w:r>
      <w:r w:rsidR="00FF5C9B" w:rsidRPr="0010176D">
        <w:rPr>
          <w:rFonts w:ascii="Times New Roman" w:hAnsi="Times New Roman" w:cs="Times New Roman"/>
          <w:bCs/>
        </w:rPr>
        <w:t xml:space="preserve">U.S. </w:t>
      </w:r>
      <w:r w:rsidR="00FF5C9B" w:rsidRPr="00FF5C9B">
        <w:rPr>
          <w:rFonts w:ascii="Times New Roman" w:hAnsi="Times New Roman" w:cs="Times New Roman"/>
          <w:bCs/>
        </w:rPr>
        <w:t>Space Force should</w:t>
      </w:r>
      <w:r w:rsidR="00FF5C9B" w:rsidRPr="0010176D">
        <w:rPr>
          <w:rFonts w:ascii="Times New Roman" w:hAnsi="Times New Roman" w:cs="Times New Roman"/>
          <w:bCs/>
        </w:rPr>
        <w:t xml:space="preserve"> continue to d</w:t>
      </w:r>
      <w:r w:rsidR="00FF5C9B" w:rsidRPr="00FF5C9B">
        <w:rPr>
          <w:rFonts w:ascii="Times New Roman" w:hAnsi="Times New Roman" w:cs="Times New Roman"/>
          <w:bCs/>
        </w:rPr>
        <w:t xml:space="preserve">esignate command </w:t>
      </w:r>
      <w:r w:rsidR="00FF5C9B" w:rsidRPr="0010176D">
        <w:rPr>
          <w:rFonts w:ascii="Times New Roman" w:hAnsi="Times New Roman" w:cs="Times New Roman"/>
          <w:bCs/>
        </w:rPr>
        <w:t>of the Space Launch Deltas as</w:t>
      </w:r>
      <w:r w:rsidR="00FF5C9B" w:rsidRPr="00FF5C9B">
        <w:rPr>
          <w:rFonts w:ascii="Times New Roman" w:hAnsi="Times New Roman" w:cs="Times New Roman"/>
          <w:bCs/>
        </w:rPr>
        <w:t xml:space="preserve"> a distinct leadership </w:t>
      </w:r>
      <w:r w:rsidR="00FF5C9B" w:rsidRPr="0010176D">
        <w:rPr>
          <w:rFonts w:ascii="Times New Roman" w:hAnsi="Times New Roman" w:cs="Times New Roman"/>
          <w:bCs/>
        </w:rPr>
        <w:t>position. Leadership selection should p</w:t>
      </w:r>
      <w:r w:rsidR="00FF5C9B" w:rsidRPr="00FF5C9B">
        <w:rPr>
          <w:rFonts w:ascii="Times New Roman" w:hAnsi="Times New Roman" w:cs="Times New Roman"/>
          <w:bCs/>
        </w:rPr>
        <w:t xml:space="preserve">rioritize candidates with deep technical credibility, interagency experience, and demonstrated comfort operating </w:t>
      </w:r>
      <w:r w:rsidR="00AD49D2" w:rsidRPr="0010176D">
        <w:rPr>
          <w:rFonts w:ascii="Times New Roman" w:hAnsi="Times New Roman" w:cs="Times New Roman"/>
          <w:bCs/>
        </w:rPr>
        <w:t>in position</w:t>
      </w:r>
      <w:r w:rsidR="00497E3A" w:rsidRPr="0010176D">
        <w:rPr>
          <w:rFonts w:ascii="Times New Roman" w:hAnsi="Times New Roman" w:cs="Times New Roman"/>
          <w:bCs/>
        </w:rPr>
        <w:t>s</w:t>
      </w:r>
      <w:r w:rsidR="00AD49D2" w:rsidRPr="0010176D">
        <w:rPr>
          <w:rFonts w:ascii="Times New Roman" w:hAnsi="Times New Roman" w:cs="Times New Roman"/>
          <w:bCs/>
        </w:rPr>
        <w:t xml:space="preserve"> with s</w:t>
      </w:r>
      <w:r w:rsidR="00497E3A" w:rsidRPr="0010176D">
        <w:rPr>
          <w:rFonts w:ascii="Times New Roman" w:hAnsi="Times New Roman" w:cs="Times New Roman"/>
          <w:bCs/>
        </w:rPr>
        <w:t xml:space="preserve">ignificant uncertainty and risk. Furthermore, </w:t>
      </w:r>
      <w:r w:rsidR="00A03D1C" w:rsidRPr="0010176D">
        <w:rPr>
          <w:rFonts w:ascii="Times New Roman" w:hAnsi="Times New Roman" w:cs="Times New Roman"/>
          <w:bCs/>
        </w:rPr>
        <w:t>the s</w:t>
      </w:r>
      <w:r w:rsidR="00FF5C9B" w:rsidRPr="00FF5C9B">
        <w:rPr>
          <w:rFonts w:ascii="Times New Roman" w:hAnsi="Times New Roman" w:cs="Times New Roman"/>
          <w:bCs/>
        </w:rPr>
        <w:t xml:space="preserve">enior </w:t>
      </w:r>
      <w:r w:rsidR="00A03D1C" w:rsidRPr="0010176D">
        <w:rPr>
          <w:rFonts w:ascii="Times New Roman" w:hAnsi="Times New Roman" w:cs="Times New Roman"/>
          <w:bCs/>
        </w:rPr>
        <w:t xml:space="preserve">launch </w:t>
      </w:r>
      <w:r w:rsidR="00FF5C9B" w:rsidRPr="00FF5C9B">
        <w:rPr>
          <w:rFonts w:ascii="Times New Roman" w:hAnsi="Times New Roman" w:cs="Times New Roman"/>
          <w:bCs/>
        </w:rPr>
        <w:t xml:space="preserve">leadership role </w:t>
      </w:r>
      <w:r w:rsidR="00A03D1C" w:rsidRPr="0010176D">
        <w:rPr>
          <w:rFonts w:ascii="Times New Roman" w:hAnsi="Times New Roman" w:cs="Times New Roman"/>
          <w:bCs/>
        </w:rPr>
        <w:t xml:space="preserve">was previously </w:t>
      </w:r>
      <w:r w:rsidR="00FF5C9B" w:rsidRPr="00FF5C9B">
        <w:rPr>
          <w:rFonts w:ascii="Times New Roman" w:hAnsi="Times New Roman" w:cs="Times New Roman"/>
          <w:bCs/>
        </w:rPr>
        <w:t xml:space="preserve">treated as </w:t>
      </w:r>
      <w:r w:rsidR="00A03D1C" w:rsidRPr="0010176D">
        <w:rPr>
          <w:rFonts w:ascii="Times New Roman" w:hAnsi="Times New Roman" w:cs="Times New Roman"/>
          <w:bCs/>
        </w:rPr>
        <w:t xml:space="preserve">a multi-hat </w:t>
      </w:r>
      <w:r w:rsidR="00FF5C9B" w:rsidRPr="00FF5C9B">
        <w:rPr>
          <w:rFonts w:ascii="Times New Roman" w:hAnsi="Times New Roman" w:cs="Times New Roman"/>
          <w:bCs/>
        </w:rPr>
        <w:t>assignment</w:t>
      </w:r>
      <w:r w:rsidR="00A03D1C" w:rsidRPr="0010176D">
        <w:rPr>
          <w:rFonts w:ascii="Times New Roman" w:hAnsi="Times New Roman" w:cs="Times New Roman"/>
          <w:bCs/>
        </w:rPr>
        <w:t xml:space="preserve">, which </w:t>
      </w:r>
      <w:r w:rsidR="0014407F" w:rsidRPr="0010176D">
        <w:rPr>
          <w:rFonts w:ascii="Times New Roman" w:hAnsi="Times New Roman" w:cs="Times New Roman"/>
          <w:bCs/>
        </w:rPr>
        <w:t>reduced</w:t>
      </w:r>
      <w:r w:rsidR="00A03D1C" w:rsidRPr="0010176D">
        <w:rPr>
          <w:rFonts w:ascii="Times New Roman" w:hAnsi="Times New Roman" w:cs="Times New Roman"/>
          <w:bCs/>
        </w:rPr>
        <w:t xml:space="preserve"> f</w:t>
      </w:r>
      <w:r w:rsidR="00FF5C9B" w:rsidRPr="00FF5C9B">
        <w:rPr>
          <w:rFonts w:ascii="Times New Roman" w:hAnsi="Times New Roman" w:cs="Times New Roman"/>
          <w:bCs/>
        </w:rPr>
        <w:t xml:space="preserve">ocus and </w:t>
      </w:r>
      <w:r w:rsidR="0014407F" w:rsidRPr="0010176D">
        <w:rPr>
          <w:rFonts w:ascii="Times New Roman" w:hAnsi="Times New Roman" w:cs="Times New Roman"/>
          <w:bCs/>
        </w:rPr>
        <w:t xml:space="preserve">created bureaucratic chokepoints. </w:t>
      </w:r>
      <w:r w:rsidR="00F432CD" w:rsidRPr="00FF5C9B">
        <w:rPr>
          <w:rFonts w:ascii="Times New Roman" w:hAnsi="Times New Roman" w:cs="Times New Roman"/>
          <w:bCs/>
        </w:rPr>
        <w:t xml:space="preserve">Just as airports require operators </w:t>
      </w:r>
      <w:proofErr w:type="gramStart"/>
      <w:r w:rsidR="00F432CD" w:rsidRPr="00FF5C9B">
        <w:rPr>
          <w:rFonts w:ascii="Times New Roman" w:hAnsi="Times New Roman" w:cs="Times New Roman"/>
          <w:bCs/>
        </w:rPr>
        <w:t>comfortable</w:t>
      </w:r>
      <w:proofErr w:type="gramEnd"/>
      <w:r w:rsidR="00F432CD" w:rsidRPr="00FF5C9B">
        <w:rPr>
          <w:rFonts w:ascii="Times New Roman" w:hAnsi="Times New Roman" w:cs="Times New Roman"/>
          <w:bCs/>
        </w:rPr>
        <w:t xml:space="preserve"> </w:t>
      </w:r>
      <w:proofErr w:type="gramStart"/>
      <w:r w:rsidR="00F432CD" w:rsidRPr="00FF5C9B">
        <w:rPr>
          <w:rFonts w:ascii="Times New Roman" w:hAnsi="Times New Roman" w:cs="Times New Roman"/>
          <w:bCs/>
        </w:rPr>
        <w:t>balancing</w:t>
      </w:r>
      <w:proofErr w:type="gramEnd"/>
      <w:r w:rsidR="00F432CD" w:rsidRPr="00FF5C9B">
        <w:rPr>
          <w:rFonts w:ascii="Times New Roman" w:hAnsi="Times New Roman" w:cs="Times New Roman"/>
          <w:bCs/>
        </w:rPr>
        <w:t xml:space="preserve"> safety, throughput, and commercial competition, spaceports require leaders</w:t>
      </w:r>
      <w:r w:rsidR="002234A8" w:rsidRPr="0010176D">
        <w:rPr>
          <w:rFonts w:ascii="Times New Roman" w:hAnsi="Times New Roman" w:cs="Times New Roman"/>
          <w:bCs/>
        </w:rPr>
        <w:t xml:space="preserve"> who are selected and</w:t>
      </w:r>
      <w:r w:rsidR="00F432CD" w:rsidRPr="00FF5C9B">
        <w:rPr>
          <w:rFonts w:ascii="Times New Roman" w:hAnsi="Times New Roman" w:cs="Times New Roman"/>
          <w:bCs/>
        </w:rPr>
        <w:t xml:space="preserve"> empowered to make</w:t>
      </w:r>
      <w:r w:rsidR="002234A8" w:rsidRPr="0010176D">
        <w:rPr>
          <w:rFonts w:ascii="Times New Roman" w:hAnsi="Times New Roman" w:cs="Times New Roman"/>
          <w:bCs/>
        </w:rPr>
        <w:t xml:space="preserve"> similarly difficult</w:t>
      </w:r>
      <w:r w:rsidR="00F432CD" w:rsidRPr="00FF5C9B">
        <w:rPr>
          <w:rFonts w:ascii="Times New Roman" w:hAnsi="Times New Roman" w:cs="Times New Roman"/>
          <w:bCs/>
        </w:rPr>
        <w:t xml:space="preserve"> </w:t>
      </w:r>
      <w:r w:rsidR="00136433" w:rsidRPr="0010176D">
        <w:rPr>
          <w:rFonts w:ascii="Times New Roman" w:hAnsi="Times New Roman" w:cs="Times New Roman"/>
          <w:bCs/>
        </w:rPr>
        <w:t>trade</w:t>
      </w:r>
      <w:r w:rsidR="001B605C" w:rsidRPr="0010176D">
        <w:rPr>
          <w:rFonts w:ascii="Times New Roman" w:hAnsi="Times New Roman" w:cs="Times New Roman"/>
          <w:bCs/>
        </w:rPr>
        <w:t xml:space="preserve">-offs. </w:t>
      </w:r>
    </w:p>
    <w:p w14:paraId="254BEAAE" w14:textId="74F6AAFB" w:rsidR="00FF5C9B" w:rsidRPr="0010176D" w:rsidRDefault="00FF5C9B" w:rsidP="00E10B11">
      <w:pPr>
        <w:widowControl w:val="0"/>
        <w:tabs>
          <w:tab w:val="left" w:pos="270"/>
        </w:tabs>
        <w:autoSpaceDE w:val="0"/>
        <w:autoSpaceDN w:val="0"/>
        <w:spacing w:after="0" w:line="480" w:lineRule="auto"/>
        <w:rPr>
          <w:rFonts w:ascii="Times New Roman" w:hAnsi="Times New Roman" w:cs="Times New Roman"/>
          <w:bCs/>
        </w:rPr>
      </w:pPr>
    </w:p>
    <w:p w14:paraId="53B84828" w14:textId="2568D33C" w:rsidR="0038732E" w:rsidRPr="0038732E" w:rsidRDefault="00156AFE" w:rsidP="00E10B11">
      <w:pPr>
        <w:spacing w:after="0" w:line="480" w:lineRule="auto"/>
        <w:ind w:firstLine="720"/>
        <w:rPr>
          <w:rFonts w:ascii="Times New Roman" w:hAnsi="Times New Roman" w:cs="Times New Roman"/>
        </w:rPr>
      </w:pPr>
      <w:r w:rsidRPr="0010176D">
        <w:rPr>
          <w:rFonts w:ascii="Times New Roman" w:hAnsi="Times New Roman" w:cs="Times New Roman"/>
          <w:bCs/>
        </w:rPr>
        <w:t>In conclusion, t</w:t>
      </w:r>
      <w:r w:rsidR="00C7085C" w:rsidRPr="00C7085C">
        <w:rPr>
          <w:rFonts w:ascii="Times New Roman" w:hAnsi="Times New Roman" w:cs="Times New Roman"/>
          <w:bCs/>
        </w:rPr>
        <w:t>he experience of the U.S. space launch enterprise demonstrates that government can adapt when role clarity, aligned incentives, and empowered leadership converge. The critical challenge ahead is ensuring that this adaptation endure</w:t>
      </w:r>
      <w:r w:rsidR="0018569B" w:rsidRPr="0010176D">
        <w:rPr>
          <w:rFonts w:ascii="Times New Roman" w:hAnsi="Times New Roman" w:cs="Times New Roman"/>
          <w:bCs/>
        </w:rPr>
        <w:t xml:space="preserve">s </w:t>
      </w:r>
      <w:r w:rsidR="00AC762B" w:rsidRPr="0010176D">
        <w:rPr>
          <w:rFonts w:ascii="Times New Roman" w:hAnsi="Times New Roman" w:cs="Times New Roman"/>
          <w:bCs/>
        </w:rPr>
        <w:t xml:space="preserve">at pace with industry demand </w:t>
      </w:r>
      <w:r w:rsidR="00C7085C" w:rsidRPr="00C7085C">
        <w:rPr>
          <w:rFonts w:ascii="Times New Roman" w:hAnsi="Times New Roman" w:cs="Times New Roman"/>
          <w:bCs/>
        </w:rPr>
        <w:t xml:space="preserve">without sacrificing safety, competition, or strategic advantage. </w:t>
      </w:r>
      <w:r w:rsidR="00F05A1E" w:rsidRPr="0010176D">
        <w:rPr>
          <w:rFonts w:ascii="Times New Roman" w:hAnsi="Times New Roman" w:cs="Times New Roman"/>
        </w:rPr>
        <w:t>The</w:t>
      </w:r>
      <w:r w:rsidR="00774D0A" w:rsidRPr="0010176D">
        <w:rPr>
          <w:rFonts w:ascii="Times New Roman" w:hAnsi="Times New Roman" w:cs="Times New Roman"/>
        </w:rPr>
        <w:t xml:space="preserve"> actions taken by U.S. Space Force launch leadership </w:t>
      </w:r>
      <w:r w:rsidR="00F05A1E" w:rsidRPr="0010176D">
        <w:rPr>
          <w:rFonts w:ascii="Times New Roman" w:hAnsi="Times New Roman" w:cs="Times New Roman"/>
        </w:rPr>
        <w:t>show t</w:t>
      </w:r>
      <w:r w:rsidR="00774D0A" w:rsidRPr="0010176D">
        <w:rPr>
          <w:rFonts w:ascii="Times New Roman" w:hAnsi="Times New Roman" w:cs="Times New Roman"/>
        </w:rPr>
        <w:t>he service’s</w:t>
      </w:r>
      <w:r w:rsidR="00F05A1E" w:rsidRPr="0010176D">
        <w:rPr>
          <w:rFonts w:ascii="Times New Roman" w:hAnsi="Times New Roman" w:cs="Times New Roman"/>
        </w:rPr>
        <w:t xml:space="preserve"> commitment to continue to support the commercial launch market while maintaining its priority of national security</w:t>
      </w:r>
      <w:r w:rsidR="00F04FCA">
        <w:rPr>
          <w:rFonts w:ascii="Times New Roman" w:hAnsi="Times New Roman" w:cs="Times New Roman"/>
        </w:rPr>
        <w:t xml:space="preserve">, and this is echoed by </w:t>
      </w:r>
      <w:r w:rsidR="00537B54">
        <w:rPr>
          <w:rFonts w:ascii="Times New Roman" w:hAnsi="Times New Roman" w:cs="Times New Roman"/>
        </w:rPr>
        <w:t xml:space="preserve">then </w:t>
      </w:r>
      <w:r w:rsidR="00F04FCA" w:rsidRPr="0010176D">
        <w:rPr>
          <w:rFonts w:ascii="Times New Roman" w:hAnsi="Times New Roman" w:cs="Times New Roman"/>
        </w:rPr>
        <w:t>Deputy Chief of Space Operations for Strategy, Plans, Programs and Requirements</w:t>
      </w:r>
      <w:r w:rsidR="00537B54">
        <w:rPr>
          <w:rFonts w:ascii="Times New Roman" w:hAnsi="Times New Roman" w:cs="Times New Roman"/>
        </w:rPr>
        <w:t>,</w:t>
      </w:r>
      <w:r w:rsidR="00F04FCA" w:rsidRPr="0010176D">
        <w:rPr>
          <w:rFonts w:ascii="Times New Roman" w:hAnsi="Times New Roman" w:cs="Times New Roman"/>
        </w:rPr>
        <w:t> Lt. Gen. Shawn N. Bratton</w:t>
      </w:r>
      <w:r w:rsidR="00537B54">
        <w:rPr>
          <w:rFonts w:ascii="Times New Roman" w:hAnsi="Times New Roman" w:cs="Times New Roman"/>
        </w:rPr>
        <w:t>,</w:t>
      </w:r>
      <w:r w:rsidR="00F05A1E" w:rsidRPr="0010176D">
        <w:rPr>
          <w:rFonts w:ascii="Times New Roman" w:hAnsi="Times New Roman" w:cs="Times New Roman"/>
        </w:rPr>
        <w:t xml:space="preserve"> “Our access to space is foundational to our national security and our way of life</w:t>
      </w:r>
      <w:r w:rsidR="00537B54">
        <w:rPr>
          <w:rFonts w:ascii="Times New Roman" w:hAnsi="Times New Roman" w:cs="Times New Roman"/>
        </w:rPr>
        <w:t>.</w:t>
      </w:r>
      <w:r w:rsidR="00F05A1E" w:rsidRPr="0010176D">
        <w:rPr>
          <w:rFonts w:ascii="Times New Roman" w:hAnsi="Times New Roman" w:cs="Times New Roman"/>
        </w:rPr>
        <w:t>”</w:t>
      </w:r>
      <w:r w:rsidR="001D4D72" w:rsidRPr="0010176D">
        <w:rPr>
          <w:rStyle w:val="FootnoteReference"/>
          <w:rFonts w:ascii="Times New Roman" w:hAnsi="Times New Roman" w:cs="Times New Roman"/>
        </w:rPr>
        <w:footnoteReference w:id="65"/>
      </w:r>
      <w:r w:rsidR="005635E6">
        <w:rPr>
          <w:rFonts w:ascii="Times New Roman" w:hAnsi="Times New Roman" w:cs="Times New Roman"/>
        </w:rPr>
        <w:t xml:space="preserve"> </w:t>
      </w:r>
      <w:r w:rsidR="0038732E" w:rsidRPr="0038732E">
        <w:rPr>
          <w:rFonts w:ascii="Times New Roman" w:hAnsi="Times New Roman" w:cs="Times New Roman"/>
        </w:rPr>
        <w:t>This paper highlights the actions that enabled a successful transition and underscores a service that embraced adaptation to meet emerging demands</w:t>
      </w:r>
    </w:p>
    <w:p w14:paraId="77770174" w14:textId="0ABB5BE7" w:rsidR="000E1469" w:rsidRPr="00325F1E" w:rsidRDefault="00E10B11" w:rsidP="00E10B11">
      <w:pPr>
        <w:widowControl w:val="0"/>
        <w:tabs>
          <w:tab w:val="left" w:pos="270"/>
        </w:tabs>
        <w:autoSpaceDE w:val="0"/>
        <w:autoSpaceDN w:val="0"/>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DF50B7" w:rsidRPr="005F5CBF">
        <w:rPr>
          <w:rFonts w:ascii="Times New Roman" w:hAnsi="Times New Roman" w:cs="Times New Roman"/>
          <w:bCs/>
        </w:rPr>
        <w:t>Historically, assured access to space was achieved through redundancy in vehicles and conservative mission assurance processe</w:t>
      </w:r>
      <w:r w:rsidR="00DF50B7" w:rsidRPr="0010176D">
        <w:rPr>
          <w:rFonts w:ascii="Times New Roman" w:hAnsi="Times New Roman" w:cs="Times New Roman"/>
          <w:bCs/>
        </w:rPr>
        <w:t>s. T</w:t>
      </w:r>
      <w:r w:rsidR="00DF50B7" w:rsidRPr="005F5CBF">
        <w:rPr>
          <w:rFonts w:ascii="Times New Roman" w:hAnsi="Times New Roman" w:cs="Times New Roman"/>
          <w:bCs/>
        </w:rPr>
        <w:t xml:space="preserve">oday, assured access increasingly depends on the </w:t>
      </w:r>
      <w:r w:rsidR="00DF50B7" w:rsidRPr="005F5CBF">
        <w:rPr>
          <w:rFonts w:ascii="Times New Roman" w:hAnsi="Times New Roman" w:cs="Times New Roman"/>
          <w:bCs/>
        </w:rPr>
        <w:lastRenderedPageBreak/>
        <w:t>government’s ability to enable sustained, high</w:t>
      </w:r>
      <w:r w:rsidR="00DF50B7" w:rsidRPr="005F5CBF">
        <w:rPr>
          <w:rFonts w:ascii="Times New Roman" w:hAnsi="Times New Roman" w:cs="Times New Roman"/>
          <w:bCs/>
        </w:rPr>
        <w:noBreakHyphen/>
        <w:t>cadence commercial launch without becoming the limiting factor itself.</w:t>
      </w:r>
      <w:r w:rsidR="00DF50B7" w:rsidRPr="0010176D">
        <w:rPr>
          <w:rFonts w:ascii="Times New Roman" w:hAnsi="Times New Roman" w:cs="Times New Roman"/>
          <w:bCs/>
        </w:rPr>
        <w:t xml:space="preserve"> </w:t>
      </w:r>
      <w:r w:rsidR="00D93D0C">
        <w:rPr>
          <w:rFonts w:ascii="Times New Roman" w:hAnsi="Times New Roman" w:cs="Times New Roman"/>
          <w:bCs/>
        </w:rPr>
        <w:t>A</w:t>
      </w:r>
      <w:r w:rsidR="00654E0A" w:rsidRPr="0010176D">
        <w:rPr>
          <w:rFonts w:ascii="Times New Roman" w:hAnsi="Times New Roman" w:cs="Times New Roman"/>
          <w:bCs/>
        </w:rPr>
        <w:t xml:space="preserve">s the </w:t>
      </w:r>
      <w:r w:rsidR="00B30BCA" w:rsidRPr="0010176D">
        <w:rPr>
          <w:rFonts w:ascii="Times New Roman" w:hAnsi="Times New Roman" w:cs="Times New Roman"/>
          <w:bCs/>
        </w:rPr>
        <w:t>U.S. Space Force</w:t>
      </w:r>
      <w:r w:rsidR="00B30BCA">
        <w:rPr>
          <w:rFonts w:ascii="Times New Roman" w:hAnsi="Times New Roman" w:cs="Times New Roman"/>
          <w:bCs/>
        </w:rPr>
        <w:t xml:space="preserve"> continues </w:t>
      </w:r>
      <w:r w:rsidR="00334EDA">
        <w:rPr>
          <w:rFonts w:ascii="Times New Roman" w:hAnsi="Times New Roman" w:cs="Times New Roman"/>
          <w:bCs/>
        </w:rPr>
        <w:t>the</w:t>
      </w:r>
      <w:r w:rsidR="00B30BCA">
        <w:rPr>
          <w:rFonts w:ascii="Times New Roman" w:hAnsi="Times New Roman" w:cs="Times New Roman"/>
          <w:bCs/>
        </w:rPr>
        <w:t xml:space="preserve"> transition to</w:t>
      </w:r>
      <w:r w:rsidR="00AD3045" w:rsidRPr="0010176D">
        <w:rPr>
          <w:rFonts w:ascii="Times New Roman" w:hAnsi="Times New Roman" w:cs="Times New Roman"/>
          <w:bCs/>
        </w:rPr>
        <w:t xml:space="preserve"> spaceport manager </w:t>
      </w:r>
      <w:r w:rsidR="00334EDA">
        <w:rPr>
          <w:rFonts w:ascii="Times New Roman" w:hAnsi="Times New Roman" w:cs="Times New Roman"/>
          <w:bCs/>
        </w:rPr>
        <w:t xml:space="preserve">and customer </w:t>
      </w:r>
      <w:r w:rsidR="00AD3045" w:rsidRPr="0010176D">
        <w:rPr>
          <w:rFonts w:ascii="Times New Roman" w:hAnsi="Times New Roman" w:cs="Times New Roman"/>
          <w:bCs/>
        </w:rPr>
        <w:t>role</w:t>
      </w:r>
      <w:r w:rsidR="00334EDA">
        <w:rPr>
          <w:rFonts w:ascii="Times New Roman" w:hAnsi="Times New Roman" w:cs="Times New Roman"/>
          <w:bCs/>
        </w:rPr>
        <w:t>s</w:t>
      </w:r>
      <w:r w:rsidR="00E93659">
        <w:rPr>
          <w:rFonts w:ascii="Times New Roman" w:hAnsi="Times New Roman" w:cs="Times New Roman"/>
          <w:bCs/>
        </w:rPr>
        <w:t xml:space="preserve">, it must </w:t>
      </w:r>
      <w:r w:rsidR="00AD3045" w:rsidRPr="0010176D">
        <w:rPr>
          <w:rFonts w:ascii="Times New Roman" w:hAnsi="Times New Roman" w:cs="Times New Roman"/>
          <w:bCs/>
        </w:rPr>
        <w:t>remain agil</w:t>
      </w:r>
      <w:r w:rsidR="00FB45C7" w:rsidRPr="0010176D">
        <w:rPr>
          <w:rFonts w:ascii="Times New Roman" w:hAnsi="Times New Roman" w:cs="Times New Roman"/>
          <w:bCs/>
        </w:rPr>
        <w:t>e and</w:t>
      </w:r>
      <w:r w:rsidR="00AD3045" w:rsidRPr="0010176D">
        <w:rPr>
          <w:rFonts w:ascii="Times New Roman" w:hAnsi="Times New Roman" w:cs="Times New Roman"/>
          <w:bCs/>
        </w:rPr>
        <w:t xml:space="preserve"> vigilant </w:t>
      </w:r>
      <w:r w:rsidR="00FB45C7" w:rsidRPr="0010176D">
        <w:rPr>
          <w:rFonts w:ascii="Times New Roman" w:hAnsi="Times New Roman" w:cs="Times New Roman"/>
          <w:bCs/>
        </w:rPr>
        <w:t xml:space="preserve">in an environment where </w:t>
      </w:r>
      <w:r w:rsidR="000E1469" w:rsidRPr="00325F1E">
        <w:rPr>
          <w:rFonts w:ascii="Times New Roman" w:hAnsi="Times New Roman" w:cs="Times New Roman"/>
          <w:bCs/>
        </w:rPr>
        <w:t>scale, speed, resilience, and competition are inseparable from national security.</w:t>
      </w:r>
      <w:r w:rsidR="00D93D0C">
        <w:rPr>
          <w:rFonts w:ascii="Times New Roman" w:hAnsi="Times New Roman" w:cs="Times New Roman"/>
          <w:bCs/>
        </w:rPr>
        <w:t xml:space="preserve"> </w:t>
      </w:r>
      <w:r w:rsidR="001B2D91">
        <w:rPr>
          <w:rFonts w:ascii="Times New Roman" w:hAnsi="Times New Roman" w:cs="Times New Roman"/>
          <w:bCs/>
        </w:rPr>
        <w:t>These actions are essential for</w:t>
      </w:r>
      <w:r w:rsidR="00D51550">
        <w:rPr>
          <w:rFonts w:ascii="Times New Roman" w:hAnsi="Times New Roman" w:cs="Times New Roman"/>
          <w:bCs/>
        </w:rPr>
        <w:t xml:space="preserve"> the U.S. </w:t>
      </w:r>
      <w:r w:rsidR="00D93D0C" w:rsidRPr="0010176D">
        <w:rPr>
          <w:rFonts w:ascii="Times New Roman" w:hAnsi="Times New Roman" w:cs="Times New Roman"/>
          <w:bCs/>
        </w:rPr>
        <w:t>Space Force to ensure that the United States remains the preeminent leader in space access.</w:t>
      </w:r>
    </w:p>
    <w:p w14:paraId="058C6E7A" w14:textId="77777777" w:rsidR="000E1469" w:rsidRPr="0010176D" w:rsidRDefault="000E1469" w:rsidP="0051028E">
      <w:pPr>
        <w:widowControl w:val="0"/>
        <w:tabs>
          <w:tab w:val="left" w:pos="270"/>
        </w:tabs>
        <w:autoSpaceDE w:val="0"/>
        <w:autoSpaceDN w:val="0"/>
        <w:spacing w:after="0" w:line="259" w:lineRule="auto"/>
        <w:rPr>
          <w:rFonts w:ascii="Times New Roman" w:hAnsi="Times New Roman" w:cs="Times New Roman"/>
          <w:bCs/>
        </w:rPr>
      </w:pPr>
    </w:p>
    <w:p w14:paraId="474C24A9" w14:textId="77777777" w:rsidR="005F5CBF" w:rsidRPr="0010176D" w:rsidRDefault="005F5CBF" w:rsidP="0051028E">
      <w:pPr>
        <w:widowControl w:val="0"/>
        <w:tabs>
          <w:tab w:val="left" w:pos="270"/>
        </w:tabs>
        <w:autoSpaceDE w:val="0"/>
        <w:autoSpaceDN w:val="0"/>
        <w:spacing w:after="0" w:line="259" w:lineRule="auto"/>
        <w:rPr>
          <w:rFonts w:ascii="Times New Roman" w:hAnsi="Times New Roman" w:cs="Times New Roman"/>
          <w:bCs/>
        </w:rPr>
      </w:pPr>
    </w:p>
    <w:p w14:paraId="3200F552" w14:textId="77777777" w:rsidR="005F5CBF" w:rsidRPr="0010176D" w:rsidRDefault="005F5CBF" w:rsidP="0051028E">
      <w:pPr>
        <w:widowControl w:val="0"/>
        <w:tabs>
          <w:tab w:val="left" w:pos="270"/>
        </w:tabs>
        <w:autoSpaceDE w:val="0"/>
        <w:autoSpaceDN w:val="0"/>
        <w:spacing w:after="0" w:line="259" w:lineRule="auto"/>
        <w:rPr>
          <w:rFonts w:ascii="Times New Roman" w:hAnsi="Times New Roman" w:cs="Times New Roman"/>
          <w:bCs/>
        </w:rPr>
      </w:pPr>
    </w:p>
    <w:p w14:paraId="2CEE5551" w14:textId="77777777" w:rsidR="00780031" w:rsidRPr="0010176D" w:rsidRDefault="00780031" w:rsidP="00213603">
      <w:pPr>
        <w:rPr>
          <w:rFonts w:ascii="Times New Roman" w:hAnsi="Times New Roman" w:cs="Times New Roman"/>
          <w:bCs/>
        </w:rPr>
      </w:pPr>
    </w:p>
    <w:p w14:paraId="2717D97D" w14:textId="77777777" w:rsidR="00F504CE" w:rsidRPr="0010176D" w:rsidRDefault="00F504CE" w:rsidP="00213603">
      <w:pPr>
        <w:rPr>
          <w:rFonts w:ascii="Times New Roman" w:hAnsi="Times New Roman" w:cs="Times New Roman"/>
        </w:rPr>
      </w:pPr>
    </w:p>
    <w:p w14:paraId="7D0D8A0D" w14:textId="77777777" w:rsidR="00C0395E" w:rsidRDefault="00C0395E">
      <w:pPr>
        <w:rPr>
          <w:rFonts w:ascii="Times New Roman" w:hAnsi="Times New Roman" w:cs="Times New Roman"/>
          <w:b/>
          <w:bCs/>
        </w:rPr>
      </w:pPr>
      <w:r>
        <w:rPr>
          <w:rFonts w:ascii="Times New Roman" w:hAnsi="Times New Roman" w:cs="Times New Roman"/>
          <w:b/>
          <w:bCs/>
        </w:rPr>
        <w:br w:type="page"/>
      </w:r>
    </w:p>
    <w:p w14:paraId="6A2A47DD" w14:textId="28C08726" w:rsidR="009125E1" w:rsidRPr="007931E5" w:rsidRDefault="009125E1" w:rsidP="00521C54">
      <w:pPr>
        <w:pStyle w:val="Heading1"/>
        <w:spacing w:after="360"/>
        <w:rPr>
          <w:rFonts w:ascii="Times New Roman" w:hAnsi="Times New Roman" w:cs="Times New Roman"/>
          <w:b/>
          <w:bCs/>
          <w:color w:val="auto"/>
          <w:sz w:val="32"/>
          <w:szCs w:val="32"/>
        </w:rPr>
      </w:pPr>
      <w:bookmarkStart w:id="14" w:name="_Toc227163561"/>
      <w:r w:rsidRPr="007931E5">
        <w:rPr>
          <w:rFonts w:ascii="Times New Roman" w:hAnsi="Times New Roman" w:cs="Times New Roman"/>
          <w:b/>
          <w:bCs/>
          <w:color w:val="auto"/>
          <w:sz w:val="32"/>
          <w:szCs w:val="32"/>
        </w:rPr>
        <w:lastRenderedPageBreak/>
        <w:t>References</w:t>
      </w:r>
      <w:bookmarkEnd w:id="14"/>
    </w:p>
    <w:p w14:paraId="03114994" w14:textId="0B72B799" w:rsidR="00595A10" w:rsidRPr="0010176D" w:rsidRDefault="00615019" w:rsidP="00213603">
      <w:pPr>
        <w:rPr>
          <w:rFonts w:ascii="Times New Roman" w:hAnsi="Times New Roman" w:cs="Times New Roman"/>
          <w:b/>
          <w:bCs/>
        </w:rPr>
      </w:pPr>
      <w:r w:rsidRPr="0010176D">
        <w:rPr>
          <w:rFonts w:ascii="Times New Roman" w:hAnsi="Times New Roman" w:cs="Times New Roman"/>
        </w:rPr>
        <w:t>10 USC § 2271</w:t>
      </w:r>
      <w:r w:rsidR="005D02DC" w:rsidRPr="0010176D">
        <w:rPr>
          <w:rFonts w:ascii="Times New Roman" w:hAnsi="Times New Roman" w:cs="Times New Roman"/>
        </w:rPr>
        <w:t xml:space="preserve"> Management of space programs,</w:t>
      </w:r>
      <w:r w:rsidR="009634FD" w:rsidRPr="0010176D">
        <w:rPr>
          <w:rFonts w:ascii="Times New Roman" w:hAnsi="Times New Roman" w:cs="Times New Roman"/>
        </w:rPr>
        <w:t xml:space="preserve"> 1 January 2024</w:t>
      </w:r>
    </w:p>
    <w:p w14:paraId="78B4E83A" w14:textId="77777777" w:rsidR="00595A10" w:rsidRPr="0010176D" w:rsidRDefault="00595A10" w:rsidP="009F03FD">
      <w:pPr>
        <w:ind w:left="432" w:hanging="432"/>
        <w:rPr>
          <w:rFonts w:ascii="Times New Roman" w:hAnsi="Times New Roman" w:cs="Times New Roman"/>
        </w:rPr>
      </w:pPr>
      <w:r w:rsidRPr="0010176D">
        <w:rPr>
          <w:rFonts w:ascii="Times New Roman" w:hAnsi="Times New Roman" w:cs="Times New Roman"/>
        </w:rPr>
        <w:t xml:space="preserve">10 USC § 2273 Policy Regarding Assured Access to Space: National Security Payloads, 7 January 2011 </w:t>
      </w:r>
    </w:p>
    <w:p w14:paraId="1471A822" w14:textId="77777777" w:rsidR="00595A10" w:rsidRPr="0010176D" w:rsidRDefault="00595A10" w:rsidP="00213603">
      <w:pPr>
        <w:rPr>
          <w:rFonts w:ascii="Times New Roman" w:hAnsi="Times New Roman" w:cs="Times New Roman"/>
        </w:rPr>
      </w:pPr>
      <w:r w:rsidRPr="0010176D">
        <w:rPr>
          <w:rFonts w:ascii="Times New Roman" w:hAnsi="Times New Roman" w:cs="Times New Roman"/>
        </w:rPr>
        <w:t xml:space="preserve">10 USC § 2276 Commercial Space Launch Cooperation, 3 January 2016 </w:t>
      </w:r>
    </w:p>
    <w:p w14:paraId="08D8F831" w14:textId="4F3DE471" w:rsidR="00595A10" w:rsidRPr="0010176D" w:rsidRDefault="00595A10" w:rsidP="009F03FD">
      <w:pPr>
        <w:ind w:left="432" w:hanging="432"/>
        <w:rPr>
          <w:rFonts w:ascii="Times New Roman" w:hAnsi="Times New Roman" w:cs="Times New Roman"/>
        </w:rPr>
      </w:pPr>
      <w:r w:rsidRPr="0010176D">
        <w:rPr>
          <w:rFonts w:ascii="Times New Roman" w:hAnsi="Times New Roman" w:cs="Times New Roman"/>
        </w:rPr>
        <w:t>10 USC § 2276a, Special Authority for Provision of Space Launch Support Services to Increase Space Launch Capacity, 22 December 2023</w:t>
      </w:r>
    </w:p>
    <w:p w14:paraId="2CA4D820" w14:textId="77777777" w:rsidR="00595A10" w:rsidRPr="0010176D" w:rsidRDefault="00595A10" w:rsidP="00595A10">
      <w:pPr>
        <w:rPr>
          <w:rFonts w:ascii="Times New Roman" w:hAnsi="Times New Roman" w:cs="Times New Roman"/>
        </w:rPr>
      </w:pPr>
      <w:r w:rsidRPr="0010176D">
        <w:rPr>
          <w:rFonts w:ascii="Times New Roman" w:hAnsi="Times New Roman" w:cs="Times New Roman"/>
        </w:rPr>
        <w:t>51 USC § 50901 Chapter 509, Commercial Space Launch Activities</w:t>
      </w:r>
    </w:p>
    <w:p w14:paraId="4AF15D97" w14:textId="1F9F7889" w:rsidR="00FE7F94" w:rsidRPr="0010176D" w:rsidRDefault="00FE7F94" w:rsidP="009F03FD">
      <w:pPr>
        <w:ind w:left="432" w:hanging="432"/>
        <w:rPr>
          <w:rFonts w:ascii="Times New Roman" w:hAnsi="Times New Roman" w:cs="Times New Roman"/>
        </w:rPr>
      </w:pPr>
      <w:proofErr w:type="spellStart"/>
      <w:r w:rsidRPr="0010176D">
        <w:rPr>
          <w:rFonts w:ascii="Times New Roman" w:hAnsi="Times New Roman" w:cs="Times New Roman"/>
        </w:rPr>
        <w:t>Daehnick</w:t>
      </w:r>
      <w:proofErr w:type="spellEnd"/>
      <w:r w:rsidRPr="0010176D">
        <w:rPr>
          <w:rFonts w:ascii="Times New Roman" w:hAnsi="Times New Roman" w:cs="Times New Roman"/>
        </w:rPr>
        <w:t xml:space="preserve">, Chris, </w:t>
      </w:r>
      <w:r w:rsidR="007607B0" w:rsidRPr="0010176D">
        <w:rPr>
          <w:rFonts w:ascii="Times New Roman" w:hAnsi="Times New Roman" w:cs="Times New Roman"/>
        </w:rPr>
        <w:t xml:space="preserve">John </w:t>
      </w:r>
      <w:r w:rsidRPr="0010176D">
        <w:rPr>
          <w:rFonts w:ascii="Times New Roman" w:hAnsi="Times New Roman" w:cs="Times New Roman"/>
        </w:rPr>
        <w:t xml:space="preserve">Gang, and </w:t>
      </w:r>
      <w:r w:rsidR="007607B0" w:rsidRPr="0010176D">
        <w:rPr>
          <w:rFonts w:ascii="Times New Roman" w:hAnsi="Times New Roman" w:cs="Times New Roman"/>
        </w:rPr>
        <w:t xml:space="preserve">Ilan </w:t>
      </w:r>
      <w:r w:rsidRPr="0010176D">
        <w:rPr>
          <w:rFonts w:ascii="Times New Roman" w:hAnsi="Times New Roman" w:cs="Times New Roman"/>
        </w:rPr>
        <w:t>Rosenkopf, “Space launch: Are we heading for oversupply or a shortfall?” McKinsey, April 17, 2023. https://www.mckinsey.com/industries/aerospace-and-defense/our-insights/space-launch-are-we-heading-for-oversupply-or-a-shortfall</w:t>
      </w:r>
    </w:p>
    <w:p w14:paraId="0DB1C7B1" w14:textId="1787938B" w:rsidR="00760297" w:rsidRPr="0010176D" w:rsidRDefault="00760297" w:rsidP="009F03FD">
      <w:pPr>
        <w:ind w:left="432" w:hanging="432"/>
        <w:rPr>
          <w:rFonts w:ascii="Times New Roman" w:hAnsi="Times New Roman" w:cs="Times New Roman"/>
        </w:rPr>
      </w:pPr>
      <w:r w:rsidRPr="0010176D">
        <w:rPr>
          <w:rFonts w:ascii="Times New Roman" w:hAnsi="Times New Roman" w:cs="Times New Roman"/>
        </w:rPr>
        <w:t>Daleo, John. “Commercial Spaceflight Receives Boost with Trump Order,” Astronomy, August 15, 2025.  https://www.astronomy.com/space-exploration/space-launch-deregulation/</w:t>
      </w:r>
    </w:p>
    <w:p w14:paraId="091F409B" w14:textId="6AD52322" w:rsidR="001816C7" w:rsidRPr="0010176D" w:rsidRDefault="001816C7" w:rsidP="009F03FD">
      <w:pPr>
        <w:ind w:left="432" w:hanging="432"/>
        <w:rPr>
          <w:rFonts w:ascii="Times New Roman" w:hAnsi="Times New Roman" w:cs="Times New Roman"/>
        </w:rPr>
      </w:pPr>
      <w:r w:rsidRPr="0010176D">
        <w:rPr>
          <w:rFonts w:ascii="Times New Roman" w:hAnsi="Times New Roman" w:cs="Times New Roman"/>
        </w:rPr>
        <w:t>Dean, James, “Schiess Tapped to Lead 45th Space Wing; Monteith to Retire,” Florida Today, April 7, 2018. https://www.floridatoday.com/story/tech/science/space/2018/04/07/ schiess-tapped-lead-45th-space-wing-monteith-retire/496002002/</w:t>
      </w:r>
    </w:p>
    <w:p w14:paraId="2B164070" w14:textId="6951FB36" w:rsidR="00B853E0" w:rsidRDefault="00B853E0" w:rsidP="009F03FD">
      <w:pPr>
        <w:ind w:left="432" w:hanging="432"/>
        <w:rPr>
          <w:rFonts w:ascii="Times New Roman" w:hAnsi="Times New Roman" w:cs="Times New Roman"/>
        </w:rPr>
      </w:pPr>
      <w:r w:rsidRPr="0010176D">
        <w:rPr>
          <w:rFonts w:ascii="Times New Roman" w:hAnsi="Times New Roman" w:cs="Times New Roman"/>
        </w:rPr>
        <w:t>Department of the Air Force / Federal Aviation Administration Memorandum of Agreement, “Launch and Reentry Activity,” 15 June 2021</w:t>
      </w:r>
    </w:p>
    <w:p w14:paraId="7BF2716C" w14:textId="2A24414E" w:rsidR="006E022B" w:rsidRPr="00E20B96" w:rsidRDefault="006E022B" w:rsidP="009F03FD">
      <w:pPr>
        <w:ind w:left="432" w:hanging="432"/>
        <w:rPr>
          <w:rFonts w:ascii="Times New Roman" w:hAnsi="Times New Roman" w:cs="Times New Roman"/>
        </w:rPr>
      </w:pPr>
      <w:r w:rsidRPr="00E20B96">
        <w:rPr>
          <w:rFonts w:ascii="Times New Roman" w:hAnsi="Times New Roman" w:cs="Times New Roman"/>
        </w:rPr>
        <w:t>Department of the Air Force, “Air Force Eastern Range Innovates, Expedites Access to Space,” February 24, 2017. https://www.patrick.spaceforce.mil/News/Article-Display/Article/</w:t>
      </w:r>
      <w:r w:rsidR="009F03FD">
        <w:rPr>
          <w:rFonts w:ascii="Times New Roman" w:hAnsi="Times New Roman" w:cs="Times New Roman"/>
        </w:rPr>
        <w:t xml:space="preserve"> </w:t>
      </w:r>
      <w:r w:rsidRPr="00E20B96">
        <w:rPr>
          <w:rFonts w:ascii="Times New Roman" w:hAnsi="Times New Roman" w:cs="Times New Roman"/>
        </w:rPr>
        <w:t>1095084/air-force-eastern-range-innovates-expedites-access-to-space/</w:t>
      </w:r>
    </w:p>
    <w:p w14:paraId="1E6284AF" w14:textId="217D328A" w:rsidR="006E022B" w:rsidRDefault="006E022B" w:rsidP="009F03FD">
      <w:pPr>
        <w:ind w:left="432" w:hanging="432"/>
        <w:rPr>
          <w:rFonts w:ascii="Times New Roman" w:hAnsi="Times New Roman" w:cs="Times New Roman"/>
        </w:rPr>
      </w:pPr>
      <w:r w:rsidRPr="0010176D">
        <w:rPr>
          <w:rFonts w:ascii="Times New Roman" w:hAnsi="Times New Roman" w:cs="Times New Roman"/>
        </w:rPr>
        <w:t>Department of the Air Force, “Autonomous Flight Safety System (AFSS) Implementation,” August 28, 2023.</w:t>
      </w:r>
    </w:p>
    <w:p w14:paraId="14C64C45" w14:textId="262DCEB9" w:rsidR="00813311" w:rsidRPr="0010176D" w:rsidRDefault="00813311" w:rsidP="009F03FD">
      <w:pPr>
        <w:ind w:left="432" w:hanging="432"/>
        <w:rPr>
          <w:rFonts w:ascii="Times New Roman" w:hAnsi="Times New Roman" w:cs="Times New Roman"/>
        </w:rPr>
      </w:pPr>
      <w:r w:rsidRPr="0010176D">
        <w:rPr>
          <w:rFonts w:ascii="Times New Roman" w:hAnsi="Times New Roman" w:cs="Times New Roman"/>
        </w:rPr>
        <w:t xml:space="preserve">Erwin, Sandra, “Space Force acquisition command prioritizing speed and commercial partnerships,” </w:t>
      </w:r>
      <w:proofErr w:type="spellStart"/>
      <w:r w:rsidRPr="0010176D">
        <w:rPr>
          <w:rFonts w:ascii="Times New Roman" w:hAnsi="Times New Roman" w:cs="Times New Roman"/>
        </w:rPr>
        <w:t>SpaceNews</w:t>
      </w:r>
      <w:proofErr w:type="spellEnd"/>
      <w:r w:rsidRPr="0010176D">
        <w:rPr>
          <w:rFonts w:ascii="Times New Roman" w:hAnsi="Times New Roman" w:cs="Times New Roman"/>
        </w:rPr>
        <w:t>, April 15, 2024. https://spacenews.com/space-force-acquisition-command-prioritizing-speed-and-commercial-partnerships/</w:t>
      </w:r>
    </w:p>
    <w:p w14:paraId="5541AC0F" w14:textId="77777777" w:rsidR="005F1464" w:rsidRPr="0010176D" w:rsidRDefault="005F1464" w:rsidP="009F03FD">
      <w:pPr>
        <w:ind w:left="432" w:hanging="432"/>
        <w:rPr>
          <w:rFonts w:ascii="Times New Roman" w:hAnsi="Times New Roman" w:cs="Times New Roman"/>
        </w:rPr>
      </w:pPr>
      <w:r w:rsidRPr="0010176D">
        <w:rPr>
          <w:rFonts w:ascii="Times New Roman" w:hAnsi="Times New Roman" w:cs="Times New Roman"/>
        </w:rPr>
        <w:t>Federal Aviation Administration, “</w:t>
      </w:r>
      <w:r w:rsidRPr="009F03FD">
        <w:rPr>
          <w:rFonts w:ascii="Times New Roman" w:hAnsi="Times New Roman" w:cs="Times New Roman"/>
        </w:rPr>
        <w:t>FAA Streamlines Commercial Space License Approvals</w:t>
      </w:r>
      <w:r w:rsidRPr="0010176D">
        <w:rPr>
          <w:rFonts w:ascii="Times New Roman" w:hAnsi="Times New Roman" w:cs="Times New Roman"/>
        </w:rPr>
        <w:t>,” March 17, 2026.  https://www.faa.gov/newsroom/faa-streamlines-commercial-space-license-approvals#</w:t>
      </w:r>
    </w:p>
    <w:p w14:paraId="066AC084" w14:textId="48683390" w:rsidR="009A4690" w:rsidRDefault="009A4690" w:rsidP="009F03FD">
      <w:pPr>
        <w:ind w:left="432" w:hanging="432"/>
        <w:rPr>
          <w:rFonts w:ascii="Times New Roman" w:hAnsi="Times New Roman" w:cs="Times New Roman"/>
        </w:rPr>
      </w:pPr>
      <w:r w:rsidRPr="0010176D">
        <w:rPr>
          <w:rFonts w:ascii="Times New Roman" w:hAnsi="Times New Roman" w:cs="Times New Roman"/>
        </w:rPr>
        <w:t xml:space="preserve">Government Accountability Office (GAO), “National Security Space Launch: Increased Commercial Use of Ranges Underscores Need for Improved Cost Recovery,” June 2025, </w:t>
      </w:r>
      <w:proofErr w:type="spellStart"/>
      <w:r w:rsidRPr="0010176D">
        <w:rPr>
          <w:rFonts w:ascii="Times New Roman" w:hAnsi="Times New Roman" w:cs="Times New Roman"/>
        </w:rPr>
        <w:t>pg</w:t>
      </w:r>
      <w:proofErr w:type="spellEnd"/>
      <w:r w:rsidRPr="0010176D">
        <w:rPr>
          <w:rFonts w:ascii="Times New Roman" w:hAnsi="Times New Roman" w:cs="Times New Roman"/>
        </w:rPr>
        <w:t xml:space="preserve"> 5, </w:t>
      </w:r>
      <w:r w:rsidRPr="00B56254">
        <w:rPr>
          <w:rFonts w:ascii="Times New Roman" w:hAnsi="Times New Roman" w:cs="Times New Roman"/>
        </w:rPr>
        <w:t>https://www.gao.gov/assets/gao-25-107228.pdf</w:t>
      </w:r>
      <w:r w:rsidRPr="0010176D">
        <w:rPr>
          <w:rFonts w:ascii="Times New Roman" w:hAnsi="Times New Roman" w:cs="Times New Roman"/>
        </w:rPr>
        <w:t>.</w:t>
      </w:r>
    </w:p>
    <w:p w14:paraId="695C670C" w14:textId="5ED40258" w:rsidR="00DD1A42" w:rsidRPr="0010176D" w:rsidRDefault="00DD1A42" w:rsidP="009F03FD">
      <w:pPr>
        <w:ind w:left="432" w:hanging="432"/>
        <w:rPr>
          <w:rFonts w:ascii="Times New Roman" w:hAnsi="Times New Roman" w:cs="Times New Roman"/>
        </w:rPr>
      </w:pPr>
      <w:r w:rsidRPr="0010176D">
        <w:rPr>
          <w:rFonts w:ascii="Times New Roman" w:hAnsi="Times New Roman" w:cs="Times New Roman"/>
        </w:rPr>
        <w:lastRenderedPageBreak/>
        <w:t>Kotter, John, “Leading change.” Harvard Business Review Press, 2012</w:t>
      </w:r>
    </w:p>
    <w:p w14:paraId="59B3FF77" w14:textId="58D7B81A" w:rsidR="00DD1A42" w:rsidRPr="0010176D" w:rsidRDefault="00DD1A42" w:rsidP="009F03FD">
      <w:pPr>
        <w:ind w:left="432" w:hanging="432"/>
        <w:rPr>
          <w:rFonts w:ascii="Times New Roman" w:hAnsi="Times New Roman" w:cs="Times New Roman"/>
        </w:rPr>
      </w:pPr>
      <w:r w:rsidRPr="0010176D">
        <w:rPr>
          <w:rFonts w:ascii="Times New Roman" w:hAnsi="Times New Roman" w:cs="Times New Roman"/>
        </w:rPr>
        <w:t>Kotter, John, “Leading Change</w:t>
      </w:r>
      <w:r w:rsidR="006B3BEE" w:rsidRPr="0010176D">
        <w:rPr>
          <w:rFonts w:ascii="Times New Roman" w:hAnsi="Times New Roman" w:cs="Times New Roman"/>
        </w:rPr>
        <w:t>:</w:t>
      </w:r>
      <w:r w:rsidRPr="0010176D">
        <w:rPr>
          <w:rFonts w:ascii="Times New Roman" w:hAnsi="Times New Roman" w:cs="Times New Roman"/>
        </w:rPr>
        <w:t xml:space="preserve"> Why Transformation Efforts Fail,” Harvard Business Review Press, January 2007</w:t>
      </w:r>
      <w:r w:rsidR="00F069DB" w:rsidRPr="0010176D">
        <w:rPr>
          <w:rFonts w:ascii="Times New Roman" w:hAnsi="Times New Roman" w:cs="Times New Roman"/>
        </w:rPr>
        <w:t xml:space="preserve">. </w:t>
      </w:r>
    </w:p>
    <w:p w14:paraId="4B33C81C" w14:textId="6B2C9798" w:rsidR="00AD3146" w:rsidRPr="0010176D" w:rsidRDefault="00AD3146" w:rsidP="009F03FD">
      <w:pPr>
        <w:ind w:left="432" w:hanging="432"/>
        <w:rPr>
          <w:rFonts w:ascii="Times New Roman" w:hAnsi="Times New Roman" w:cs="Times New Roman"/>
        </w:rPr>
      </w:pPr>
      <w:r w:rsidRPr="0010176D">
        <w:rPr>
          <w:rFonts w:ascii="Times New Roman" w:hAnsi="Times New Roman" w:cs="Times New Roman"/>
        </w:rPr>
        <w:t>Kotter, John P. “Leading Change: Why Transformation Efforts Fail.” Museum Management and Marketing, edited by Robert R. Janes and Richard Sandell, 1st ed., Routledge, 2007, pp. 20–29, https://doi.org/10.4324/9780203964194-4.</w:t>
      </w:r>
    </w:p>
    <w:p w14:paraId="04405D8E" w14:textId="7EA34C53" w:rsidR="00566E5E" w:rsidRPr="0010176D" w:rsidRDefault="00566E5E" w:rsidP="00213603">
      <w:pPr>
        <w:rPr>
          <w:rFonts w:ascii="Times New Roman" w:hAnsi="Times New Roman" w:cs="Times New Roman"/>
        </w:rPr>
      </w:pPr>
      <w:r w:rsidRPr="0010176D">
        <w:rPr>
          <w:rFonts w:ascii="Times New Roman" w:hAnsi="Times New Roman" w:cs="Times New Roman"/>
        </w:rPr>
        <w:t>FAR 31.201-3, Determining Reasonableness</w:t>
      </w:r>
    </w:p>
    <w:p w14:paraId="2C07C564" w14:textId="32868FE0" w:rsidR="00220BF5" w:rsidRDefault="00220BF5" w:rsidP="009F03FD">
      <w:pPr>
        <w:ind w:left="432" w:hanging="432"/>
        <w:rPr>
          <w:rFonts w:ascii="Times New Roman" w:hAnsi="Times New Roman" w:cs="Times New Roman"/>
        </w:rPr>
      </w:pPr>
      <w:r w:rsidRPr="0010176D">
        <w:rPr>
          <w:rFonts w:ascii="Times New Roman" w:hAnsi="Times New Roman" w:cs="Times New Roman"/>
        </w:rPr>
        <w:t>Hadley, Greg, “Space Force, Congress Look to Address Growing Crunch on Launch Facilities,” Air &amp; Space Forces Magazine, July 21,2025. https://www.airandspaceforces.com/space-force-congress-growing-crunch-launch-facilities/</w:t>
      </w:r>
      <w:r w:rsidR="00E7525B">
        <w:rPr>
          <w:rFonts w:ascii="Times New Roman" w:hAnsi="Times New Roman" w:cs="Times New Roman"/>
        </w:rPr>
        <w:t xml:space="preserve"> </w:t>
      </w:r>
    </w:p>
    <w:p w14:paraId="62688951" w14:textId="28A85DE2" w:rsidR="004763B6" w:rsidRDefault="00E7525B" w:rsidP="009F03FD">
      <w:pPr>
        <w:ind w:left="432" w:hanging="432"/>
        <w:rPr>
          <w:rFonts w:ascii="Times New Roman" w:hAnsi="Times New Roman" w:cs="Times New Roman"/>
        </w:rPr>
      </w:pPr>
      <w:r w:rsidRPr="00E7525B">
        <w:rPr>
          <w:rFonts w:ascii="Times New Roman" w:hAnsi="Times New Roman" w:cs="Times New Roman"/>
        </w:rPr>
        <w:t>Li, Alex, “Demystifying the Part 450 Launch/Reentry License Regulations,” Sept 2024. https://alexsli.com/thespacebar/august-2024-part450#45011</w:t>
      </w:r>
    </w:p>
    <w:p w14:paraId="00198A63" w14:textId="62228C2D" w:rsidR="00E205FF" w:rsidRPr="0010176D" w:rsidRDefault="00E205FF" w:rsidP="009F03FD">
      <w:pPr>
        <w:ind w:left="432" w:hanging="432"/>
        <w:rPr>
          <w:rFonts w:ascii="Times New Roman" w:hAnsi="Times New Roman" w:cs="Times New Roman"/>
        </w:rPr>
      </w:pPr>
      <w:r w:rsidRPr="0010176D">
        <w:rPr>
          <w:rFonts w:ascii="Times New Roman" w:hAnsi="Times New Roman" w:cs="Times New Roman"/>
        </w:rPr>
        <w:t>Lindbergh, Rachel, “Commercial Space Launch and Reentry Regulations: Overview and Select Issues,” Congressional Research Service, June 23, 2025.</w:t>
      </w:r>
    </w:p>
    <w:p w14:paraId="33F0440F" w14:textId="76FA6C4C" w:rsidR="00F73D9D" w:rsidRPr="0010176D" w:rsidRDefault="00F73D9D" w:rsidP="009F03FD">
      <w:pPr>
        <w:ind w:left="432" w:hanging="432"/>
        <w:rPr>
          <w:rFonts w:ascii="Times New Roman" w:hAnsi="Times New Roman" w:cs="Times New Roman"/>
        </w:rPr>
      </w:pPr>
      <w:r w:rsidRPr="0010176D">
        <w:rPr>
          <w:rFonts w:ascii="Times New Roman" w:hAnsi="Times New Roman" w:cs="Times New Roman"/>
        </w:rPr>
        <w:t>NASA, “Considerations for Using Autonomous Flight Termination Software in Crewed Launch Vehicles,” August 22, 2023. https://www.nasa.gov/wp-content/uploads/2024/08/tb-24-02-082324-1.pdf?emrc=f07a0e</w:t>
      </w:r>
    </w:p>
    <w:p w14:paraId="7EA7A3E0" w14:textId="6D1ACD0D" w:rsidR="00044234" w:rsidRPr="0010176D" w:rsidRDefault="00044234" w:rsidP="009F03FD">
      <w:pPr>
        <w:ind w:left="432" w:hanging="432"/>
        <w:rPr>
          <w:rFonts w:ascii="Times New Roman" w:hAnsi="Times New Roman" w:cs="Times New Roman"/>
        </w:rPr>
      </w:pPr>
      <w:r w:rsidRPr="0010176D">
        <w:rPr>
          <w:rFonts w:ascii="Times New Roman" w:hAnsi="Times New Roman" w:cs="Times New Roman"/>
        </w:rPr>
        <w:t>Pawlikowsi, Ellen, “Mission Assurance – A Key Part of Space Vehicle Launch Mission Success,” High Frontier, May 2008</w:t>
      </w:r>
      <w:r w:rsidR="0054297B" w:rsidRPr="0010176D">
        <w:rPr>
          <w:rFonts w:ascii="Times New Roman" w:hAnsi="Times New Roman" w:cs="Times New Roman"/>
        </w:rPr>
        <w:t>.</w:t>
      </w:r>
      <w:r w:rsidRPr="0010176D">
        <w:rPr>
          <w:rFonts w:ascii="Times New Roman" w:hAnsi="Times New Roman" w:cs="Times New Roman"/>
        </w:rPr>
        <w:t xml:space="preserve"> </w:t>
      </w:r>
      <w:r w:rsidR="0054297B" w:rsidRPr="0010176D">
        <w:rPr>
          <w:rFonts w:ascii="Times New Roman" w:hAnsi="Times New Roman" w:cs="Times New Roman"/>
        </w:rPr>
        <w:t>h</w:t>
      </w:r>
      <w:r w:rsidRPr="0010176D">
        <w:rPr>
          <w:rFonts w:ascii="Times New Roman" w:hAnsi="Times New Roman" w:cs="Times New Roman"/>
        </w:rPr>
        <w:t xml:space="preserve">ttps://www.nro.gov/Portals/65/documents/news/articles/2008/2008-05.pdf </w:t>
      </w:r>
    </w:p>
    <w:p w14:paraId="38116280" w14:textId="6370EFAD" w:rsidR="0094647E" w:rsidRDefault="0094647E" w:rsidP="00213603">
      <w:pPr>
        <w:rPr>
          <w:rFonts w:ascii="Times New Roman" w:hAnsi="Times New Roman" w:cs="Times New Roman"/>
        </w:rPr>
      </w:pPr>
      <w:r w:rsidRPr="009B113C">
        <w:rPr>
          <w:rFonts w:ascii="Times New Roman" w:hAnsi="Times New Roman" w:cs="Times New Roman"/>
        </w:rPr>
        <w:t>Sec. 911 National Defense Authorization Act for FY 2008, Pub. L. 110-181, 28 January 2008</w:t>
      </w:r>
    </w:p>
    <w:p w14:paraId="36B15E15" w14:textId="4D7325EB" w:rsidR="00404762" w:rsidRPr="009B113C" w:rsidRDefault="00404762" w:rsidP="009F03FD">
      <w:pPr>
        <w:ind w:left="432" w:hanging="432"/>
        <w:rPr>
          <w:rFonts w:ascii="Times New Roman" w:hAnsi="Times New Roman" w:cs="Times New Roman"/>
        </w:rPr>
      </w:pPr>
      <w:r w:rsidRPr="0010176D">
        <w:rPr>
          <w:rFonts w:ascii="Times New Roman" w:hAnsi="Times New Roman" w:cs="Times New Roman"/>
        </w:rPr>
        <w:t>U.S. Space Force, “Space Force Releases Principles for Space Access Resourcing Decisions,” July 16, 2025. https://www.spaceforce.mil/News/Article-Display/Article/4246866/space-force-releases-principles-for-space-access-resourcing-decisions/</w:t>
      </w:r>
    </w:p>
    <w:p w14:paraId="4BFA8338" w14:textId="653AEC73" w:rsidR="009B113C" w:rsidRDefault="009B113C" w:rsidP="009F03FD">
      <w:pPr>
        <w:ind w:left="432" w:hanging="432"/>
        <w:rPr>
          <w:rFonts w:ascii="Times New Roman" w:hAnsi="Times New Roman" w:cs="Times New Roman"/>
        </w:rPr>
      </w:pPr>
      <w:r w:rsidRPr="009B113C">
        <w:rPr>
          <w:rFonts w:ascii="Times New Roman" w:hAnsi="Times New Roman" w:cs="Times New Roman"/>
        </w:rPr>
        <w:t xml:space="preserve">U.S. Space Force, “U.S. Space Force Commercial Space Strategy: Accelerating the Purposeful Pursuit of Hybrid Space Architectures,” April 8, 2024. </w:t>
      </w:r>
    </w:p>
    <w:p w14:paraId="74A1DA12" w14:textId="33D77FAA" w:rsidR="009B113C" w:rsidRDefault="009B113C" w:rsidP="009F03FD">
      <w:pPr>
        <w:ind w:left="432" w:hanging="432"/>
        <w:rPr>
          <w:rFonts w:ascii="Times New Roman" w:hAnsi="Times New Roman" w:cs="Times New Roman"/>
        </w:rPr>
      </w:pPr>
      <w:r w:rsidRPr="009B113C">
        <w:rPr>
          <w:rFonts w:ascii="Times New Roman" w:hAnsi="Times New Roman" w:cs="Times New Roman"/>
        </w:rPr>
        <w:t>U.S. Space Force, “U.S. Space Force Commercial Space Strategy Annex 1: USSF Principles for Space Access Resourcing Decisions,” July 16, 2025,</w:t>
      </w:r>
      <w:r>
        <w:rPr>
          <w:rFonts w:ascii="Times New Roman" w:hAnsi="Times New Roman" w:cs="Times New Roman"/>
        </w:rPr>
        <w:t xml:space="preserve"> h</w:t>
      </w:r>
      <w:r w:rsidRPr="009B113C">
        <w:rPr>
          <w:rFonts w:ascii="Times New Roman" w:hAnsi="Times New Roman" w:cs="Times New Roman"/>
        </w:rPr>
        <w:t>ttps://www.spaceforce.mil/Portals/2/</w:t>
      </w:r>
      <w:r w:rsidR="009F03FD">
        <w:rPr>
          <w:rFonts w:ascii="Times New Roman" w:hAnsi="Times New Roman" w:cs="Times New Roman"/>
        </w:rPr>
        <w:t xml:space="preserve"> </w:t>
      </w:r>
      <w:r w:rsidRPr="009B113C">
        <w:rPr>
          <w:rFonts w:ascii="Times New Roman" w:hAnsi="Times New Roman" w:cs="Times New Roman"/>
        </w:rPr>
        <w:t>Documents/SAF%202025/Commercial_Space_Strategy_Space_Access_Resourcing_Decis</w:t>
      </w:r>
      <w:r w:rsidR="009F03FD">
        <w:rPr>
          <w:rFonts w:ascii="Times New Roman" w:hAnsi="Times New Roman" w:cs="Times New Roman"/>
        </w:rPr>
        <w:t>io</w:t>
      </w:r>
      <w:r w:rsidRPr="009B113C">
        <w:rPr>
          <w:rFonts w:ascii="Times New Roman" w:hAnsi="Times New Roman" w:cs="Times New Roman"/>
        </w:rPr>
        <w:t>ns_Annex.pdf.</w:t>
      </w:r>
    </w:p>
    <w:p w14:paraId="13F7055B" w14:textId="77777777" w:rsidR="00742AE0" w:rsidRDefault="00742AE0" w:rsidP="009F03FD">
      <w:pPr>
        <w:ind w:left="432" w:hanging="432"/>
        <w:rPr>
          <w:rFonts w:ascii="Times New Roman" w:hAnsi="Times New Roman" w:cs="Times New Roman"/>
        </w:rPr>
      </w:pPr>
      <w:r w:rsidRPr="009B113C">
        <w:rPr>
          <w:rFonts w:ascii="Times New Roman" w:hAnsi="Times New Roman" w:cs="Times New Roman"/>
        </w:rPr>
        <w:t>U.S. Space Force, “U.S. Space Force Range of the Future 2028: Strategic Intent,” February 2020</w:t>
      </w:r>
    </w:p>
    <w:p w14:paraId="5758A80B" w14:textId="77777777" w:rsidR="00404762" w:rsidRDefault="00404762" w:rsidP="009F03FD">
      <w:pPr>
        <w:ind w:left="432" w:hanging="432"/>
        <w:rPr>
          <w:rFonts w:ascii="Times New Roman" w:hAnsi="Times New Roman" w:cs="Times New Roman"/>
        </w:rPr>
      </w:pPr>
    </w:p>
    <w:p w14:paraId="79225510" w14:textId="77777777" w:rsidR="00404762" w:rsidRPr="009B113C" w:rsidRDefault="00404762" w:rsidP="009B113C">
      <w:pPr>
        <w:rPr>
          <w:rFonts w:ascii="Times New Roman" w:hAnsi="Times New Roman" w:cs="Times New Roman"/>
        </w:rPr>
      </w:pPr>
    </w:p>
    <w:sectPr w:rsidR="00404762" w:rsidRPr="009B113C" w:rsidSect="008D0C8D">
      <w:endnotePr>
        <w:numFmt w:val="decimal"/>
      </w:endnotePr>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E8BB" w14:textId="77777777" w:rsidR="0064530C" w:rsidRDefault="0064530C" w:rsidP="00095F01">
      <w:pPr>
        <w:spacing w:after="0" w:line="240" w:lineRule="auto"/>
      </w:pPr>
      <w:r>
        <w:separator/>
      </w:r>
    </w:p>
  </w:endnote>
  <w:endnote w:type="continuationSeparator" w:id="0">
    <w:p w14:paraId="3BAEE804" w14:textId="77777777" w:rsidR="0064530C" w:rsidRDefault="0064530C" w:rsidP="00095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69AF" w14:textId="77777777" w:rsidR="0028279C" w:rsidRPr="0028279C" w:rsidRDefault="0028279C" w:rsidP="0028279C">
    <w:pPr>
      <w:tabs>
        <w:tab w:val="center" w:pos="4320"/>
        <w:tab w:val="right" w:pos="8640"/>
      </w:tabs>
      <w:spacing w:after="0" w:line="240" w:lineRule="auto"/>
      <w:jc w:val="center"/>
      <w:rPr>
        <w:rFonts w:ascii="Times New Roman" w:eastAsia="Times New Roman" w:hAnsi="Times New Roman" w:cs="Times New Roman"/>
        <w:kern w:val="0"/>
        <w:szCs w:val="20"/>
        <w14:ligatures w14:val="none"/>
      </w:rPr>
    </w:pPr>
    <w:r w:rsidRPr="0028279C">
      <w:rPr>
        <w:rFonts w:ascii="Times New Roman" w:eastAsia="Times New Roman" w:hAnsi="Times New Roman" w:cs="Times New Roman"/>
        <w:kern w:val="0"/>
        <w:szCs w:val="20"/>
        <w14:ligatures w14:val="none"/>
      </w:rPr>
      <w:fldChar w:fldCharType="begin"/>
    </w:r>
    <w:r w:rsidRPr="0028279C">
      <w:rPr>
        <w:rFonts w:ascii="Times New Roman" w:eastAsia="Times New Roman" w:hAnsi="Times New Roman" w:cs="Times New Roman"/>
        <w:kern w:val="0"/>
        <w:szCs w:val="20"/>
        <w14:ligatures w14:val="none"/>
      </w:rPr>
      <w:instrText xml:space="preserve">PAGE  </w:instrText>
    </w:r>
    <w:r w:rsidRPr="0028279C">
      <w:rPr>
        <w:rFonts w:ascii="Times New Roman" w:eastAsia="Times New Roman" w:hAnsi="Times New Roman" w:cs="Times New Roman"/>
        <w:kern w:val="0"/>
        <w:szCs w:val="20"/>
        <w14:ligatures w14:val="none"/>
      </w:rPr>
      <w:fldChar w:fldCharType="separate"/>
    </w:r>
    <w:r w:rsidRPr="0028279C">
      <w:rPr>
        <w:rFonts w:ascii="Times New Roman" w:eastAsia="Times New Roman" w:hAnsi="Times New Roman" w:cs="Times New Roman"/>
        <w:kern w:val="0"/>
        <w:szCs w:val="20"/>
        <w14:ligatures w14:val="none"/>
      </w:rPr>
      <w:t>10</w:t>
    </w:r>
    <w:r w:rsidRPr="0028279C">
      <w:rPr>
        <w:rFonts w:ascii="Times New Roman" w:eastAsia="Times New Roman" w:hAnsi="Times New Roman" w:cs="Times New Roman"/>
        <w:kern w:val="0"/>
        <w:szCs w:val="20"/>
        <w14:ligatures w14:val="none"/>
      </w:rPr>
      <w:fldChar w:fldCharType="end"/>
    </w:r>
    <w:bookmarkStart w:id="2" w:name="_Toc400726740"/>
    <w:bookmarkStart w:id="3" w:name="_Toc400764520"/>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F3A8" w14:textId="77777777" w:rsidR="0064530C" w:rsidRDefault="0064530C" w:rsidP="00095F01">
      <w:pPr>
        <w:spacing w:after="0" w:line="240" w:lineRule="auto"/>
      </w:pPr>
      <w:r>
        <w:separator/>
      </w:r>
    </w:p>
  </w:footnote>
  <w:footnote w:type="continuationSeparator" w:id="0">
    <w:p w14:paraId="07B04009" w14:textId="77777777" w:rsidR="0064530C" w:rsidRDefault="0064530C" w:rsidP="00095F01">
      <w:pPr>
        <w:spacing w:after="0" w:line="240" w:lineRule="auto"/>
      </w:pPr>
      <w:r>
        <w:continuationSeparator/>
      </w:r>
    </w:p>
  </w:footnote>
  <w:footnote w:id="1">
    <w:p w14:paraId="4D0A8D6E" w14:textId="2AA76949" w:rsidR="001473F6" w:rsidRPr="000D45C0" w:rsidRDefault="001473F6" w:rsidP="001473F6">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w:t>
      </w:r>
      <w:r w:rsidRPr="00A82BA2">
        <w:rPr>
          <w:rFonts w:ascii="Times New Roman" w:hAnsi="Times New Roman" w:cs="Times New Roman"/>
        </w:rPr>
        <w:t>Lt Col David Schill is the U.S. Space Force 2025-2026 National Security Fellow at the Harvard Kennedy School. A career acquisition officer, Lt Col Schill</w:t>
      </w:r>
      <w:r w:rsidRPr="00A82BA2">
        <w:rPr>
          <w:rFonts w:ascii="Times New Roman" w:hAnsi="Times New Roman" w:cs="Times New Roman"/>
          <w:color w:val="1E1E1E"/>
          <w:shd w:val="clear" w:color="auto" w:fill="FFFFFF"/>
        </w:rPr>
        <w:t xml:space="preserve"> </w:t>
      </w:r>
      <w:r w:rsidRPr="00A82BA2">
        <w:rPr>
          <w:rFonts w:ascii="Times New Roman" w:hAnsi="Times New Roman" w:cs="Times New Roman"/>
        </w:rPr>
        <w:t xml:space="preserve">has held several engineering, program management, staff, and command positions throughout his career. Most recently, he served in the U.S. Space Force’s Assured Access to Space organization, commanding the 5th Space Launch Squadron and serving as a Materiel Leader and Chief Engineer for the Vulcan Centaur rocket development program. </w:t>
      </w:r>
      <w:r w:rsidR="00A82BA2" w:rsidRPr="00A82BA2">
        <w:rPr>
          <w:rFonts w:ascii="Times New Roman" w:hAnsi="Times New Roman" w:cs="Times New Roman"/>
        </w:rPr>
        <w:t>In the fall of 2025, Lt Col Schill took a “Government Turnarounds” class at the Harvard Kennedy School with Professor Jeffrey Liebman. In that class, a key idea that resonated with Lt Col Schill was that creating lasting impact (or sustaining change) is one of the hardest challenges in a government turnaround or transition, and that</w:t>
      </w:r>
      <w:r w:rsidR="00A82BA2" w:rsidRPr="000D45C0">
        <w:rPr>
          <w:rFonts w:ascii="Times New Roman" w:hAnsi="Times New Roman" w:cs="Times New Roman"/>
        </w:rPr>
        <w:t xml:space="preserve"> idea served as an inspiration for this paper.</w:t>
      </w:r>
    </w:p>
  </w:footnote>
  <w:footnote w:id="2">
    <w:p w14:paraId="4F993117" w14:textId="04A59693" w:rsidR="00FE3073" w:rsidRPr="00FE3073" w:rsidRDefault="00FE3073">
      <w:pPr>
        <w:pStyle w:val="FootnoteText"/>
        <w:rPr>
          <w:rFonts w:ascii="Times New Roman" w:hAnsi="Times New Roman" w:cs="Times New Roman"/>
        </w:rPr>
      </w:pPr>
      <w:r w:rsidRPr="00FE3073">
        <w:rPr>
          <w:rStyle w:val="FootnoteReference"/>
          <w:rFonts w:ascii="Times New Roman" w:hAnsi="Times New Roman" w:cs="Times New Roman"/>
        </w:rPr>
        <w:footnoteRef/>
      </w:r>
      <w:r w:rsidRPr="00FE3073">
        <w:rPr>
          <w:rFonts w:ascii="Times New Roman" w:hAnsi="Times New Roman" w:cs="Times New Roman"/>
        </w:rPr>
        <w:t xml:space="preserve"> Interviews cited in this paper are not publicly attributable and are therefore not listed in the References section</w:t>
      </w:r>
    </w:p>
  </w:footnote>
  <w:footnote w:id="3">
    <w:p w14:paraId="29541711" w14:textId="56606B69" w:rsidR="003865C4" w:rsidRPr="0010176D" w:rsidRDefault="003865C4">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Government Accountability Office (GAO), “National Security Space Launch: Increased Commercial Use of Ranges Underscores Need for Improved Cost Recovery,” June 2025, </w:t>
      </w:r>
      <w:proofErr w:type="spellStart"/>
      <w:r w:rsidRPr="0010176D">
        <w:rPr>
          <w:rFonts w:ascii="Times New Roman" w:hAnsi="Times New Roman" w:cs="Times New Roman"/>
        </w:rPr>
        <w:t>pg</w:t>
      </w:r>
      <w:proofErr w:type="spellEnd"/>
      <w:r w:rsidRPr="0010176D">
        <w:rPr>
          <w:rFonts w:ascii="Times New Roman" w:hAnsi="Times New Roman" w:cs="Times New Roman"/>
        </w:rPr>
        <w:t xml:space="preserve"> 5, </w:t>
      </w:r>
      <w:r w:rsidRPr="00B56254">
        <w:rPr>
          <w:rFonts w:ascii="Times New Roman" w:hAnsi="Times New Roman" w:cs="Times New Roman"/>
        </w:rPr>
        <w:t>https://www.gao.gov/assets/gao-25-107228.pdf</w:t>
      </w:r>
      <w:r w:rsidRPr="0010176D">
        <w:rPr>
          <w:rFonts w:ascii="Times New Roman" w:hAnsi="Times New Roman" w:cs="Times New Roman"/>
        </w:rPr>
        <w:t>.</w:t>
      </w:r>
    </w:p>
  </w:footnote>
  <w:footnote w:id="4">
    <w:p w14:paraId="48073D11" w14:textId="472597B4" w:rsidR="003865C4" w:rsidRPr="0010176D" w:rsidRDefault="003865C4">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Federal Aviation Administration (FAA), “FAA Aerospace Forecast Fiscal Years 2024-2044,” 2023, page 43, https://www.faa.gov/dataresearch/aviation/aerospaceforecasts/faa-aerospace-forecast-fy-2024-2044.</w:t>
      </w:r>
    </w:p>
  </w:footnote>
  <w:footnote w:id="5">
    <w:p w14:paraId="03AA8F3A" w14:textId="77777777" w:rsidR="004705DA" w:rsidRPr="0010176D" w:rsidRDefault="004705DA" w:rsidP="004705DA">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Daehnick, Gang, and Rosenkopf, “Space launch: Are we heading for oversupply or a shortfall?” McKinsey, April 17, 2023. https://www.mckinsey.com/industries/aerospace-and-defense/our-insights/space-launch-are-we-heading-for-oversupply-or-a-shortfall</w:t>
      </w:r>
    </w:p>
  </w:footnote>
  <w:footnote w:id="6">
    <w:p w14:paraId="53C29FC3" w14:textId="0D66F7A4" w:rsidR="009A315B" w:rsidRDefault="009A315B">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For example, a technological advancement </w:t>
      </w:r>
      <w:r w:rsidR="00C6521C" w:rsidRPr="0010176D">
        <w:rPr>
          <w:rFonts w:ascii="Times New Roman" w:hAnsi="Times New Roman" w:cs="Times New Roman"/>
        </w:rPr>
        <w:t>is the rise in reusable rocket technology that drives down hardware costs</w:t>
      </w:r>
      <w:r w:rsidR="00FD549C" w:rsidRPr="0010176D">
        <w:rPr>
          <w:rFonts w:ascii="Times New Roman" w:hAnsi="Times New Roman" w:cs="Times New Roman"/>
        </w:rPr>
        <w:t xml:space="preserve">. </w:t>
      </w:r>
      <w:r w:rsidR="0095437B" w:rsidRPr="0010176D">
        <w:rPr>
          <w:rFonts w:ascii="Times New Roman" w:hAnsi="Times New Roman" w:cs="Times New Roman"/>
        </w:rPr>
        <w:t xml:space="preserve"> </w:t>
      </w:r>
    </w:p>
  </w:footnote>
  <w:footnote w:id="7">
    <w:p w14:paraId="643F9CBD" w14:textId="19D6A0B2" w:rsidR="009570BD" w:rsidRPr="0010176D" w:rsidRDefault="009570BD">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Erwin, “</w:t>
      </w:r>
      <w:r w:rsidR="007833CE" w:rsidRPr="0010176D">
        <w:rPr>
          <w:rFonts w:ascii="Times New Roman" w:hAnsi="Times New Roman" w:cs="Times New Roman"/>
        </w:rPr>
        <w:t>Space Force acquisition command prioritizing speed and commercial partnerships,” SpaceNews,</w:t>
      </w:r>
      <w:r w:rsidR="00813311" w:rsidRPr="0010176D">
        <w:rPr>
          <w:rFonts w:ascii="Times New Roman" w:hAnsi="Times New Roman" w:cs="Times New Roman"/>
        </w:rPr>
        <w:t xml:space="preserve"> April 15, 2024. https://spacenews.com/space-force-acquisition-command-prioritizing-speed-and-commercial-partnerships/</w:t>
      </w:r>
    </w:p>
  </w:footnote>
  <w:footnote w:id="8">
    <w:p w14:paraId="26370F23" w14:textId="1181EE70" w:rsidR="003865C4" w:rsidRPr="0010176D" w:rsidRDefault="003865C4">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“Public Law 98-575,” “Commercial Space Launch Act,” Government Publishing Office, October 30, 1984.</w:t>
      </w:r>
    </w:p>
    <w:p w14:paraId="27569BCB" w14:textId="363CDF2E" w:rsidR="003865C4" w:rsidRPr="0010176D" w:rsidRDefault="003865C4">
      <w:pPr>
        <w:pStyle w:val="FootnoteText"/>
        <w:rPr>
          <w:rFonts w:ascii="Times New Roman" w:hAnsi="Times New Roman" w:cs="Times New Roman"/>
        </w:rPr>
      </w:pPr>
      <w:r w:rsidRPr="0010176D">
        <w:rPr>
          <w:rFonts w:ascii="Times New Roman" w:hAnsi="Times New Roman" w:cs="Times New Roman"/>
        </w:rPr>
        <w:t>https://www.congress.gov/bill/98th-congress/house-bill/3942.</w:t>
      </w:r>
    </w:p>
  </w:footnote>
  <w:footnote w:id="9">
    <w:p w14:paraId="3D679B4D" w14:textId="584AC093" w:rsidR="003865C4" w:rsidRDefault="003865C4">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For more information about the FAA AST, see FAA, “About the Office of Commercial Space Transportation, ” 2 July 2025, https://www.faa.gov/about/office_org/headquarters_offices/ast.</w:t>
      </w:r>
    </w:p>
  </w:footnote>
  <w:footnote w:id="10">
    <w:p w14:paraId="16C93D70" w14:textId="651F2A5E" w:rsidR="003865C4" w:rsidRPr="0010176D" w:rsidRDefault="003865C4">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“Public Law 103-303,” “Commercial Space Act of 1998,” Government Publishing Office, October 28, 1998. </w:t>
      </w:r>
    </w:p>
    <w:p w14:paraId="272D01C6" w14:textId="12211CE7" w:rsidR="003865C4" w:rsidRPr="0010176D" w:rsidRDefault="003865C4">
      <w:pPr>
        <w:pStyle w:val="FootnoteText"/>
        <w:rPr>
          <w:rFonts w:ascii="Times New Roman" w:hAnsi="Times New Roman" w:cs="Times New Roman"/>
        </w:rPr>
      </w:pPr>
      <w:r w:rsidRPr="0010176D">
        <w:rPr>
          <w:rFonts w:ascii="Times New Roman" w:hAnsi="Times New Roman" w:cs="Times New Roman"/>
        </w:rPr>
        <w:t>https://www.congress.gov/bill/105th-congress/house-bill/1702.</w:t>
      </w:r>
    </w:p>
  </w:footnote>
  <w:footnote w:id="11">
    <w:p w14:paraId="25D87E03" w14:textId="7AC5EA8A" w:rsidR="003865C4" w:rsidRPr="0010176D" w:rsidRDefault="003865C4">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51 U.S.C. §50901(b)(3).  </w:t>
      </w:r>
    </w:p>
  </w:footnote>
  <w:footnote w:id="12">
    <w:p w14:paraId="7011C9D7" w14:textId="7E90A6F7" w:rsidR="003865C4" w:rsidRPr="0010176D" w:rsidRDefault="003865C4" w:rsidP="00A5279A">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Li, Alex, “Demystifying the Part 450 Launch/Reentry License Regulations,” Sept 2024. https://alexsli.com/thespacebar/august-2024-part450#45011</w:t>
      </w:r>
    </w:p>
    <w:p w14:paraId="2C34FDEA" w14:textId="75793523" w:rsidR="003865C4" w:rsidRPr="0010176D" w:rsidRDefault="003865C4" w:rsidP="00A5279A">
      <w:pPr>
        <w:pStyle w:val="FootnoteText"/>
        <w:rPr>
          <w:rFonts w:ascii="Times New Roman" w:hAnsi="Times New Roman" w:cs="Times New Roman"/>
        </w:rPr>
      </w:pPr>
      <w:r w:rsidRPr="0010176D">
        <w:rPr>
          <w:rFonts w:ascii="Times New Roman" w:hAnsi="Times New Roman" w:cs="Times New Roman"/>
        </w:rPr>
        <w:t xml:space="preserve"> Sept 2024</w:t>
      </w:r>
    </w:p>
  </w:footnote>
  <w:footnote w:id="13">
    <w:p w14:paraId="6789F2A7" w14:textId="644AD5F6" w:rsidR="003865C4" w:rsidRPr="0010176D" w:rsidRDefault="003865C4">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10 U.S.C. §2273.</w:t>
      </w:r>
    </w:p>
  </w:footnote>
  <w:footnote w:id="14">
    <w:p w14:paraId="5452A0B9" w14:textId="1678793D" w:rsidR="003865C4" w:rsidRDefault="003865C4">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10 U.S.C. §2276 and §2276A.</w:t>
      </w:r>
    </w:p>
  </w:footnote>
  <w:footnote w:id="15">
    <w:p w14:paraId="0FCB0987" w14:textId="7AFAB6E0" w:rsidR="003865C4" w:rsidRPr="0010176D" w:rsidRDefault="003865C4">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10 U.S.C. §2276</w:t>
      </w:r>
    </w:p>
  </w:footnote>
  <w:footnote w:id="16">
    <w:p w14:paraId="74E47A7D" w14:textId="4AC09AFE" w:rsidR="003865C4" w:rsidRPr="0010176D" w:rsidRDefault="003865C4">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10 U.S.C. §2276A</w:t>
      </w:r>
    </w:p>
  </w:footnote>
  <w:footnote w:id="17">
    <w:p w14:paraId="04C45BF9" w14:textId="42B2D363" w:rsidR="003865C4" w:rsidRDefault="003865C4">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U.S. Department of the Air Force and Federal Aviation Administration. "Memorandum of Agreement for Launch and Reentry Activity on Department of the Air Force Ranges and Installations." Agreement Number FAA-DAF-SLR-2021.01. Signed May 14, 2021.</w:t>
      </w:r>
    </w:p>
  </w:footnote>
  <w:footnote w:id="18">
    <w:p w14:paraId="29D4693F" w14:textId="3A5FEB61" w:rsidR="00551D9F" w:rsidRPr="009B113C" w:rsidRDefault="00551D9F">
      <w:pPr>
        <w:pStyle w:val="FootnoteText"/>
        <w:rPr>
          <w:rFonts w:ascii="Times New Roman" w:hAnsi="Times New Roman" w:cs="Times New Roman"/>
        </w:rPr>
      </w:pPr>
      <w:r w:rsidRPr="009B113C">
        <w:rPr>
          <w:rStyle w:val="FootnoteReference"/>
          <w:rFonts w:ascii="Times New Roman" w:hAnsi="Times New Roman" w:cs="Times New Roman"/>
        </w:rPr>
        <w:footnoteRef/>
      </w:r>
      <w:r w:rsidRPr="009B113C">
        <w:rPr>
          <w:rFonts w:ascii="Times New Roman" w:hAnsi="Times New Roman" w:cs="Times New Roman"/>
        </w:rPr>
        <w:t xml:space="preserve"> U.S. Space Force, “U.S. Space Force Range of the Future 2028: Strategic Intent,” </w:t>
      </w:r>
      <w:r w:rsidR="009B113C" w:rsidRPr="009B113C">
        <w:rPr>
          <w:rFonts w:ascii="Times New Roman" w:hAnsi="Times New Roman" w:cs="Times New Roman"/>
        </w:rPr>
        <w:t xml:space="preserve">February 2020, </w:t>
      </w:r>
      <w:proofErr w:type="spellStart"/>
      <w:r w:rsidR="009B113C" w:rsidRPr="009B113C">
        <w:rPr>
          <w:rFonts w:ascii="Times New Roman" w:hAnsi="Times New Roman" w:cs="Times New Roman"/>
        </w:rPr>
        <w:t>pg</w:t>
      </w:r>
      <w:proofErr w:type="spellEnd"/>
      <w:r w:rsidR="009B113C" w:rsidRPr="009B113C">
        <w:rPr>
          <w:rFonts w:ascii="Times New Roman" w:hAnsi="Times New Roman" w:cs="Times New Roman"/>
        </w:rPr>
        <w:t xml:space="preserve"> 2.</w:t>
      </w:r>
    </w:p>
  </w:footnote>
  <w:footnote w:id="19">
    <w:p w14:paraId="6BE92603" w14:textId="5807F243" w:rsidR="003865C4" w:rsidRPr="0010176D" w:rsidRDefault="003865C4">
      <w:pPr>
        <w:pStyle w:val="FootnoteText"/>
        <w:rPr>
          <w:rFonts w:ascii="Times New Roman" w:hAnsi="Times New Roman" w:cs="Times New Roman"/>
        </w:rPr>
      </w:pPr>
      <w:r w:rsidRPr="009B113C">
        <w:rPr>
          <w:rStyle w:val="FootnoteReference"/>
          <w:rFonts w:ascii="Times New Roman" w:hAnsi="Times New Roman" w:cs="Times New Roman"/>
        </w:rPr>
        <w:footnoteRef/>
      </w:r>
      <w:r w:rsidRPr="009B113C">
        <w:rPr>
          <w:rFonts w:ascii="Times New Roman" w:hAnsi="Times New Roman" w:cs="Times New Roman"/>
        </w:rPr>
        <w:t xml:space="preserve"> U.S. Space Force, “U.S. Space Force Commercial Space Strategy: Accelerating the Purposeful Pursuit of </w:t>
      </w:r>
      <w:r w:rsidRPr="0010176D">
        <w:rPr>
          <w:rFonts w:ascii="Times New Roman" w:hAnsi="Times New Roman" w:cs="Times New Roman"/>
        </w:rPr>
        <w:t xml:space="preserve">Hybrid Space Architectures,” April 8, 2024. </w:t>
      </w:r>
    </w:p>
  </w:footnote>
  <w:footnote w:id="20">
    <w:p w14:paraId="4DB60E6B" w14:textId="3C8CF5A1" w:rsidR="00DD4B00" w:rsidRPr="0010176D" w:rsidRDefault="00DD4B00">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w:t>
      </w:r>
      <w:r w:rsidR="003865C4" w:rsidRPr="0010176D">
        <w:rPr>
          <w:rFonts w:ascii="Times New Roman" w:hAnsi="Times New Roman" w:cs="Times New Roman"/>
        </w:rPr>
        <w:t>U.S. Space Force, “U.S. Space Force Commercial Space Strategy</w:t>
      </w:r>
      <w:r w:rsidR="00776222" w:rsidRPr="0010176D">
        <w:rPr>
          <w:rFonts w:ascii="Times New Roman" w:hAnsi="Times New Roman" w:cs="Times New Roman"/>
        </w:rPr>
        <w:t xml:space="preserve"> Annex 1: </w:t>
      </w:r>
      <w:r w:rsidR="003865C4" w:rsidRPr="0010176D">
        <w:rPr>
          <w:rFonts w:ascii="Times New Roman" w:hAnsi="Times New Roman" w:cs="Times New Roman"/>
        </w:rPr>
        <w:t>USSF Principles for Space Access Resourcing Decisions</w:t>
      </w:r>
      <w:r w:rsidR="00776222" w:rsidRPr="0010176D">
        <w:rPr>
          <w:rFonts w:ascii="Times New Roman" w:hAnsi="Times New Roman" w:cs="Times New Roman"/>
        </w:rPr>
        <w:t xml:space="preserve">,” </w:t>
      </w:r>
      <w:r w:rsidR="00D1371B" w:rsidRPr="0010176D">
        <w:rPr>
          <w:rFonts w:ascii="Times New Roman" w:hAnsi="Times New Roman" w:cs="Times New Roman"/>
        </w:rPr>
        <w:t xml:space="preserve">July 16, 2025, </w:t>
      </w:r>
      <w:r w:rsidR="005362C4" w:rsidRPr="0010176D">
        <w:rPr>
          <w:rFonts w:ascii="Times New Roman" w:hAnsi="Times New Roman" w:cs="Times New Roman"/>
        </w:rPr>
        <w:t>https://www.spaceforce.mil/Portals/2/Documents/SAF%202025/Commercial</w:t>
      </w:r>
      <w:r w:rsidR="009B113C">
        <w:rPr>
          <w:rFonts w:ascii="Times New Roman" w:hAnsi="Times New Roman" w:cs="Times New Roman"/>
        </w:rPr>
        <w:t xml:space="preserve"> </w:t>
      </w:r>
      <w:r w:rsidR="005362C4" w:rsidRPr="0010176D">
        <w:rPr>
          <w:rFonts w:ascii="Times New Roman" w:hAnsi="Times New Roman" w:cs="Times New Roman"/>
        </w:rPr>
        <w:t>_Space_Strategy_Space_Access_Resourcing_Decisions_Annex.pdf.</w:t>
      </w:r>
    </w:p>
  </w:footnote>
  <w:footnote w:id="21">
    <w:p w14:paraId="1EF79BF1" w14:textId="34FA0FEB" w:rsidR="00F238EB" w:rsidRPr="0010176D" w:rsidRDefault="00F238EB">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w:t>
      </w:r>
      <w:r w:rsidR="009B148D" w:rsidRPr="0010176D">
        <w:rPr>
          <w:rFonts w:ascii="Times New Roman" w:hAnsi="Times New Roman" w:cs="Times New Roman"/>
          <w:bCs/>
        </w:rPr>
        <w:t>Additionally, NASA, in close coordination with the Department of the Air Force and the Federal Aviation Administration, developed a NASA Autonomous Flight Termination System (NAFTU). Because it was designed to be customizable to support a wide array of launch vehicles at any launch range, NAFTU is more complicated than other, proprietary AFSS developed by launch companies.</w:t>
      </w:r>
      <w:r w:rsidR="0024099F">
        <w:rPr>
          <w:rFonts w:ascii="Times New Roman" w:hAnsi="Times New Roman" w:cs="Times New Roman"/>
          <w:bCs/>
        </w:rPr>
        <w:t xml:space="preserve"> </w:t>
      </w:r>
      <w:r w:rsidR="0024099F" w:rsidRPr="0010176D">
        <w:rPr>
          <w:rFonts w:ascii="Times New Roman" w:hAnsi="Times New Roman" w:cs="Times New Roman"/>
        </w:rPr>
        <w:t>NASA also had specific and additional requirements levied on AFSS for NASA crewed missions. While not discussed here, this shows additional complexity that launch companies must navigate. See NASA, “Considerations for Using Autonomous Flight Termination Software in Crewed Launch Vehicles,” August 22, 2023. https://www.nasa.gov/wp-content/uploads/2024/08/tb-24-02-082324-1.pdf?emrc=f07a0e</w:t>
      </w:r>
    </w:p>
  </w:footnote>
  <w:footnote w:id="22">
    <w:p w14:paraId="75777560" w14:textId="1592D5D5" w:rsidR="001604F1" w:rsidRPr="0010176D" w:rsidRDefault="001604F1">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Department of the Air Force, “Autonomous Flight Safety System (AFSS) Implementation,” November 13, 2019. </w:t>
      </w:r>
    </w:p>
  </w:footnote>
  <w:footnote w:id="23">
    <w:p w14:paraId="3CC8A020" w14:textId="1B6677C8" w:rsidR="0012680D" w:rsidRPr="0010176D" w:rsidRDefault="0012680D">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Department of the Air Force, “Air Force Eastern Range Innovates, Expedites Access to Space,” February 24, 2017. https://www.patrick.spaceforce.mil/News/Article-Display/Article/1095084/air-force-eastern-range-innovates-expedites-access-to-space/</w:t>
      </w:r>
    </w:p>
  </w:footnote>
  <w:footnote w:id="24">
    <w:p w14:paraId="4BBB73BA" w14:textId="0C21184F" w:rsidR="00950301" w:rsidRDefault="00950301">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Department of the Air Force, “Air Force Eastern Range Innovates, Expedites Access to Space,” </w:t>
      </w:r>
      <w:r w:rsidR="003C195A" w:rsidRPr="0010176D">
        <w:rPr>
          <w:rFonts w:ascii="Times New Roman" w:hAnsi="Times New Roman" w:cs="Times New Roman"/>
        </w:rPr>
        <w:t>February 24, 2017. https://www.patrick.spaceforce.mil/News/Article-Display/Article/1095084/air-force-eastern-range-innovates-expedites-access-to-space/</w:t>
      </w:r>
    </w:p>
  </w:footnote>
  <w:footnote w:id="25">
    <w:p w14:paraId="0E6A4E89" w14:textId="27091C7A" w:rsidR="00A36B7B" w:rsidRPr="0010176D" w:rsidRDefault="00A36B7B">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Department of the Air Force, “Autonomous Flight Safety System (AFSS) Implementation,” August 28, 2023.</w:t>
      </w:r>
    </w:p>
  </w:footnote>
  <w:footnote w:id="26">
    <w:p w14:paraId="6059AD1B" w14:textId="4B045B5F" w:rsidR="00520220" w:rsidRPr="0010176D" w:rsidRDefault="00520220">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Th</w:t>
      </w:r>
      <w:r w:rsidR="00B80AD3" w:rsidRPr="0010176D">
        <w:rPr>
          <w:rFonts w:ascii="Times New Roman" w:hAnsi="Times New Roman" w:cs="Times New Roman"/>
        </w:rPr>
        <w:t xml:space="preserve">e subsequent steps focus on the efforts of the U.S. Space Force, and not that of industry, the Department of Commerce, or other entities. </w:t>
      </w:r>
    </w:p>
  </w:footnote>
  <w:footnote w:id="27">
    <w:p w14:paraId="4406CC40" w14:textId="5AC35C01" w:rsidR="001134F3" w:rsidRPr="0010176D" w:rsidRDefault="001134F3">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w:t>
      </w:r>
      <w:r w:rsidR="005D2249" w:rsidRPr="0010176D">
        <w:rPr>
          <w:rFonts w:ascii="Times New Roman" w:hAnsi="Times New Roman" w:cs="Times New Roman"/>
        </w:rPr>
        <w:t>Kotter, John, “Leading Change</w:t>
      </w:r>
      <w:r w:rsidR="00CD02D5">
        <w:rPr>
          <w:rFonts w:ascii="Times New Roman" w:hAnsi="Times New Roman" w:cs="Times New Roman"/>
        </w:rPr>
        <w:t>:</w:t>
      </w:r>
      <w:r w:rsidR="005D2249" w:rsidRPr="0010176D">
        <w:rPr>
          <w:rFonts w:ascii="Times New Roman" w:hAnsi="Times New Roman" w:cs="Times New Roman"/>
        </w:rPr>
        <w:t xml:space="preserve"> Why Transformation Efforts Fail,” Harvard Business Review, </w:t>
      </w:r>
      <w:r w:rsidR="000B6400" w:rsidRPr="0010176D">
        <w:rPr>
          <w:rFonts w:ascii="Times New Roman" w:hAnsi="Times New Roman" w:cs="Times New Roman"/>
        </w:rPr>
        <w:t>January 2007.</w:t>
      </w:r>
    </w:p>
  </w:footnote>
  <w:footnote w:id="28">
    <w:p w14:paraId="013825C5" w14:textId="340E5895" w:rsidR="00861B3B" w:rsidRPr="0010176D" w:rsidRDefault="00861B3B">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Kotter, “Leading Change: Why Transformation Efforts Fail,” Harvard Business Review</w:t>
      </w:r>
      <w:r w:rsidR="00DD1A42" w:rsidRPr="0010176D">
        <w:rPr>
          <w:rFonts w:ascii="Times New Roman" w:hAnsi="Times New Roman" w:cs="Times New Roman"/>
        </w:rPr>
        <w:t xml:space="preserve"> Press</w:t>
      </w:r>
      <w:r w:rsidRPr="0010176D">
        <w:rPr>
          <w:rFonts w:ascii="Times New Roman" w:hAnsi="Times New Roman" w:cs="Times New Roman"/>
        </w:rPr>
        <w:t xml:space="preserve">, January 2007, pg </w:t>
      </w:r>
      <w:r w:rsidR="00734228" w:rsidRPr="0010176D">
        <w:rPr>
          <w:rFonts w:ascii="Times New Roman" w:hAnsi="Times New Roman" w:cs="Times New Roman"/>
        </w:rPr>
        <w:t>4.</w:t>
      </w:r>
    </w:p>
  </w:footnote>
  <w:footnote w:id="29">
    <w:p w14:paraId="5F346899" w14:textId="7F6143FF" w:rsidR="004613A6" w:rsidRDefault="004613A6">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Pawlikowsi, “Mission Assurance – A Key Part of Space Vehicle Launch Mission Success,”</w:t>
      </w:r>
      <w:r w:rsidR="00044234" w:rsidRPr="0010176D">
        <w:rPr>
          <w:rFonts w:ascii="Times New Roman" w:hAnsi="Times New Roman" w:cs="Times New Roman"/>
        </w:rPr>
        <w:t xml:space="preserve"> High Frontier, May 2008, https://www.nro.gov/Portals/65/documents/news/articles/2008/2008-05.pdf</w:t>
      </w:r>
    </w:p>
  </w:footnote>
  <w:footnote w:id="30">
    <w:p w14:paraId="4B6FE9AA" w14:textId="09577E9F" w:rsidR="00312268" w:rsidRDefault="00312268">
      <w:pPr>
        <w:pStyle w:val="FootnoteText"/>
      </w:pPr>
      <w:r>
        <w:rPr>
          <w:rStyle w:val="FootnoteReference"/>
        </w:rPr>
        <w:footnoteRef/>
      </w:r>
      <w:r>
        <w:t xml:space="preserve"> </w:t>
      </w:r>
      <w:r w:rsidRPr="009B113C">
        <w:rPr>
          <w:rFonts w:ascii="Times New Roman" w:hAnsi="Times New Roman" w:cs="Times New Roman"/>
        </w:rPr>
        <w:t>U.S. Space Force, “U.S. Space Force Range of the Future 2028: Strategic Intent,” February 2020</w:t>
      </w:r>
      <w:r>
        <w:rPr>
          <w:rFonts w:ascii="Times New Roman" w:hAnsi="Times New Roman" w:cs="Times New Roman"/>
        </w:rPr>
        <w:t>.</w:t>
      </w:r>
    </w:p>
  </w:footnote>
  <w:footnote w:id="31">
    <w:p w14:paraId="0DC7D625" w14:textId="7C6DE305" w:rsidR="00C059DA" w:rsidRPr="0010176D" w:rsidRDefault="00C059DA">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w:t>
      </w:r>
      <w:r w:rsidR="00F23C85" w:rsidRPr="0010176D">
        <w:rPr>
          <w:rFonts w:ascii="Times New Roman" w:hAnsi="Times New Roman" w:cs="Times New Roman"/>
        </w:rPr>
        <w:t xml:space="preserve">Also known as </w:t>
      </w:r>
      <w:r w:rsidR="00F069DB" w:rsidRPr="0010176D">
        <w:rPr>
          <w:rFonts w:ascii="Times New Roman" w:hAnsi="Times New Roman" w:cs="Times New Roman"/>
        </w:rPr>
        <w:t xml:space="preserve">the </w:t>
      </w:r>
      <w:r w:rsidR="00F23C85" w:rsidRPr="0010176D">
        <w:rPr>
          <w:rFonts w:ascii="Times New Roman" w:hAnsi="Times New Roman" w:cs="Times New Roman"/>
        </w:rPr>
        <w:t>“</w:t>
      </w:r>
      <w:r w:rsidR="00F069DB" w:rsidRPr="0010176D">
        <w:rPr>
          <w:rFonts w:ascii="Times New Roman" w:hAnsi="Times New Roman" w:cs="Times New Roman"/>
        </w:rPr>
        <w:t>Drive</w:t>
      </w:r>
      <w:r w:rsidR="00F23C85" w:rsidRPr="0010176D">
        <w:rPr>
          <w:rFonts w:ascii="Times New Roman" w:hAnsi="Times New Roman" w:cs="Times New Roman"/>
        </w:rPr>
        <w:t xml:space="preserve"> to 48</w:t>
      </w:r>
      <w:r w:rsidR="008C1C09" w:rsidRPr="0010176D">
        <w:rPr>
          <w:rFonts w:ascii="Times New Roman" w:hAnsi="Times New Roman" w:cs="Times New Roman"/>
        </w:rPr>
        <w:t xml:space="preserve">.” </w:t>
      </w:r>
      <w:r w:rsidR="009F4710" w:rsidRPr="0010176D">
        <w:rPr>
          <w:rFonts w:ascii="Times New Roman" w:hAnsi="Times New Roman" w:cs="Times New Roman"/>
        </w:rPr>
        <w:t xml:space="preserve">Dean, “Schiess Tapped to Lead 45th Space Wing; Monteith to Retire,” Florida Today, </w:t>
      </w:r>
      <w:r w:rsidR="001816C7" w:rsidRPr="0010176D">
        <w:rPr>
          <w:rFonts w:ascii="Times New Roman" w:hAnsi="Times New Roman" w:cs="Times New Roman"/>
        </w:rPr>
        <w:t>April 7, 2018. https://www.floridatoday.com/story/tech/science/space/2018/04/07/schiess-tapped-lead-45th-space-wing-monteith-retire/496002002/</w:t>
      </w:r>
    </w:p>
  </w:footnote>
  <w:footnote w:id="32">
    <w:p w14:paraId="61CC5F7F" w14:textId="27F3F6C7" w:rsidR="004B6846" w:rsidRPr="0010176D" w:rsidRDefault="004B6846">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w:t>
      </w:r>
      <w:r w:rsidR="000C2F81" w:rsidRPr="0010176D">
        <w:rPr>
          <w:rFonts w:ascii="Times New Roman" w:hAnsi="Times New Roman" w:cs="Times New Roman"/>
        </w:rPr>
        <w:t>Kotter, “Leading Change: Why Transformation Efforts Fail,” Harvard Business Review Press, January 2007, pg 3.</w:t>
      </w:r>
    </w:p>
  </w:footnote>
  <w:footnote w:id="33">
    <w:p w14:paraId="02F91A08" w14:textId="515918C1" w:rsidR="000B1256" w:rsidRDefault="000B1256">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w:t>
      </w:r>
      <w:r w:rsidR="001527D8" w:rsidRPr="0010176D">
        <w:rPr>
          <w:rFonts w:ascii="Times New Roman" w:hAnsi="Times New Roman" w:cs="Times New Roman"/>
        </w:rPr>
        <w:t>Author i</w:t>
      </w:r>
      <w:r w:rsidRPr="0010176D">
        <w:rPr>
          <w:rFonts w:ascii="Times New Roman" w:hAnsi="Times New Roman" w:cs="Times New Roman"/>
        </w:rPr>
        <w:t xml:space="preserve">nterview with </w:t>
      </w:r>
      <w:r w:rsidR="00900B13" w:rsidRPr="0010176D">
        <w:rPr>
          <w:rFonts w:ascii="Times New Roman" w:hAnsi="Times New Roman" w:cs="Times New Roman"/>
        </w:rPr>
        <w:t>i</w:t>
      </w:r>
      <w:r w:rsidRPr="0010176D">
        <w:rPr>
          <w:rFonts w:ascii="Times New Roman" w:hAnsi="Times New Roman" w:cs="Times New Roman"/>
        </w:rPr>
        <w:t xml:space="preserve">ndustry </w:t>
      </w:r>
      <w:r w:rsidR="00900B13" w:rsidRPr="0010176D">
        <w:rPr>
          <w:rFonts w:ascii="Times New Roman" w:hAnsi="Times New Roman" w:cs="Times New Roman"/>
        </w:rPr>
        <w:t xml:space="preserve">launch provider leader, </w:t>
      </w:r>
      <w:r w:rsidR="001527D8" w:rsidRPr="0010176D">
        <w:rPr>
          <w:rFonts w:ascii="Times New Roman" w:hAnsi="Times New Roman" w:cs="Times New Roman"/>
        </w:rPr>
        <w:t xml:space="preserve">conducted by </w:t>
      </w:r>
      <w:r w:rsidR="00900B13" w:rsidRPr="0010176D">
        <w:rPr>
          <w:rFonts w:ascii="Times New Roman" w:hAnsi="Times New Roman" w:cs="Times New Roman"/>
        </w:rPr>
        <w:t>phone, April 10, 2026.</w:t>
      </w:r>
    </w:p>
  </w:footnote>
  <w:footnote w:id="34">
    <w:p w14:paraId="5629B8F0" w14:textId="144990DA" w:rsidR="001558C2" w:rsidRPr="0010176D" w:rsidRDefault="001558C2">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w:t>
      </w:r>
      <w:r w:rsidR="00706FF5" w:rsidRPr="0010176D">
        <w:rPr>
          <w:rFonts w:ascii="Times New Roman" w:hAnsi="Times New Roman" w:cs="Times New Roman"/>
        </w:rPr>
        <w:t>Kotter, “Leading Change: Why Transformation Efforts Fail,” Harvard Business Review Press, January 2007, pg 1.</w:t>
      </w:r>
    </w:p>
  </w:footnote>
  <w:footnote w:id="35">
    <w:p w14:paraId="19B4BD8E" w14:textId="357B8C99" w:rsidR="006707AE" w:rsidRPr="0010176D" w:rsidRDefault="006707AE">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w:t>
      </w:r>
      <w:r w:rsidR="002112FB" w:rsidRPr="0010176D">
        <w:rPr>
          <w:rFonts w:ascii="Times New Roman" w:hAnsi="Times New Roman" w:cs="Times New Roman"/>
        </w:rPr>
        <w:t xml:space="preserve"> #</w:t>
      </w:r>
      <w:r w:rsidR="007F09EC" w:rsidRPr="0010176D">
        <w:rPr>
          <w:rFonts w:ascii="Times New Roman" w:hAnsi="Times New Roman" w:cs="Times New Roman"/>
        </w:rPr>
        <w:t>3</w:t>
      </w:r>
      <w:r w:rsidRPr="0010176D">
        <w:rPr>
          <w:rFonts w:ascii="Times New Roman" w:hAnsi="Times New Roman" w:cs="Times New Roman"/>
        </w:rPr>
        <w:t xml:space="preserve">, conducted by phone, </w:t>
      </w:r>
      <w:r w:rsidR="00817E64" w:rsidRPr="0010176D">
        <w:rPr>
          <w:rFonts w:ascii="Times New Roman" w:hAnsi="Times New Roman" w:cs="Times New Roman"/>
        </w:rPr>
        <w:t>Mar</w:t>
      </w:r>
      <w:r w:rsidR="00EF0B52" w:rsidRPr="0010176D">
        <w:rPr>
          <w:rFonts w:ascii="Times New Roman" w:hAnsi="Times New Roman" w:cs="Times New Roman"/>
        </w:rPr>
        <w:t>ch</w:t>
      </w:r>
      <w:r w:rsidR="00817E64" w:rsidRPr="0010176D">
        <w:rPr>
          <w:rFonts w:ascii="Times New Roman" w:hAnsi="Times New Roman" w:cs="Times New Roman"/>
        </w:rPr>
        <w:t xml:space="preserve"> 18</w:t>
      </w:r>
      <w:r w:rsidR="00E206F7" w:rsidRPr="0010176D">
        <w:rPr>
          <w:rFonts w:ascii="Times New Roman" w:hAnsi="Times New Roman" w:cs="Times New Roman"/>
        </w:rPr>
        <w:t>,</w:t>
      </w:r>
      <w:r w:rsidRPr="0010176D">
        <w:rPr>
          <w:rFonts w:ascii="Times New Roman" w:hAnsi="Times New Roman" w:cs="Times New Roman"/>
        </w:rPr>
        <w:t xml:space="preserve"> 2026</w:t>
      </w:r>
      <w:r w:rsidR="007B72DD" w:rsidRPr="0010176D">
        <w:rPr>
          <w:rFonts w:ascii="Times New Roman" w:hAnsi="Times New Roman" w:cs="Times New Roman"/>
        </w:rPr>
        <w:t>.</w:t>
      </w:r>
    </w:p>
  </w:footnote>
  <w:footnote w:id="36">
    <w:p w14:paraId="7440D0CD" w14:textId="17D8B650" w:rsidR="00B21E30" w:rsidRPr="0010176D" w:rsidRDefault="00B21E30">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Redesignated as Space Systems Command</w:t>
      </w:r>
      <w:r w:rsidR="00A61D66" w:rsidRPr="0010176D">
        <w:rPr>
          <w:rFonts w:ascii="Times New Roman" w:hAnsi="Times New Roman" w:cs="Times New Roman"/>
        </w:rPr>
        <w:t xml:space="preserve"> in 2021</w:t>
      </w:r>
    </w:p>
  </w:footnote>
  <w:footnote w:id="37">
    <w:p w14:paraId="209B8057" w14:textId="6054CF6C" w:rsidR="00A61D66" w:rsidRPr="0010176D" w:rsidRDefault="00A61D66">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w:t>
      </w:r>
      <w:r w:rsidR="00F12E1B" w:rsidRPr="0010176D">
        <w:rPr>
          <w:rFonts w:ascii="Times New Roman" w:hAnsi="Times New Roman" w:cs="Times New Roman"/>
        </w:rPr>
        <w:t>R</w:t>
      </w:r>
      <w:r w:rsidRPr="0010176D">
        <w:rPr>
          <w:rFonts w:ascii="Times New Roman" w:hAnsi="Times New Roman" w:cs="Times New Roman"/>
        </w:rPr>
        <w:t>edesignated as Space Launch Deltas</w:t>
      </w:r>
      <w:r w:rsidR="00F12E1B" w:rsidRPr="0010176D">
        <w:rPr>
          <w:rFonts w:ascii="Times New Roman" w:hAnsi="Times New Roman" w:cs="Times New Roman"/>
        </w:rPr>
        <w:t xml:space="preserve"> in 2021.</w:t>
      </w:r>
    </w:p>
  </w:footnote>
  <w:footnote w:id="38">
    <w:p w14:paraId="3C8D1F63" w14:textId="4E0A5407" w:rsidR="00EF0B52" w:rsidRDefault="00EF0B52">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#1, conducted by phone, August 1, 2025.</w:t>
      </w:r>
    </w:p>
  </w:footnote>
  <w:footnote w:id="39">
    <w:p w14:paraId="4B7DCBC1" w14:textId="3704A82E" w:rsidR="00E559CA" w:rsidRPr="0010176D" w:rsidRDefault="00E559CA">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Kotter, “Leading Change: Why Transformation Efforts Fail,” Harvard Business Review Press, January 2007, pg 6.</w:t>
      </w:r>
    </w:p>
  </w:footnote>
  <w:footnote w:id="40">
    <w:p w14:paraId="576C0376" w14:textId="4115CFDA" w:rsidR="000131E0" w:rsidRPr="0010176D" w:rsidRDefault="000131E0">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w:t>
      </w:r>
      <w:r w:rsidR="00295A7E" w:rsidRPr="0010176D">
        <w:rPr>
          <w:rFonts w:ascii="Times New Roman" w:hAnsi="Times New Roman" w:cs="Times New Roman"/>
        </w:rPr>
        <w:t>Lindbergh, “Commercial Space Launch and Reentry Regulations: Overview and Select Issues,” Congressional Research Service, June 23, 2025.</w:t>
      </w:r>
    </w:p>
  </w:footnote>
  <w:footnote w:id="41">
    <w:p w14:paraId="7CD39ED6" w14:textId="026431D4" w:rsidR="00581B06" w:rsidRPr="0010176D" w:rsidRDefault="00581B06">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w:t>
      </w:r>
      <w:r w:rsidR="00690B5C" w:rsidRPr="0010176D">
        <w:rPr>
          <w:rFonts w:ascii="Times New Roman" w:hAnsi="Times New Roman" w:cs="Times New Roman"/>
        </w:rPr>
        <w:t>Author interview with U.S. Space Force leader #3, conducted by phone, March 18, 2026.</w:t>
      </w:r>
    </w:p>
  </w:footnote>
  <w:footnote w:id="42">
    <w:p w14:paraId="4426F8DD" w14:textId="5D47EB24" w:rsidR="003857F7" w:rsidRDefault="003857F7">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#2, conducted by phone, September 22, 2025.</w:t>
      </w:r>
    </w:p>
  </w:footnote>
  <w:footnote w:id="43">
    <w:p w14:paraId="452F1D88" w14:textId="2F96707B" w:rsidR="00862EAF" w:rsidRPr="0010176D" w:rsidRDefault="00862EAF">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Hadley, “Space Force, Congress</w:t>
      </w:r>
      <w:r w:rsidR="00BE0C70" w:rsidRPr="0010176D">
        <w:rPr>
          <w:rFonts w:ascii="Times New Roman" w:hAnsi="Times New Roman" w:cs="Times New Roman"/>
        </w:rPr>
        <w:t xml:space="preserve"> Look to Address Growing Crunch on Launch Facilities,” Air &amp; Space Forces Magazine, July 21,2025. </w:t>
      </w:r>
      <w:r w:rsidR="00220BF5" w:rsidRPr="0010176D">
        <w:rPr>
          <w:rFonts w:ascii="Times New Roman" w:hAnsi="Times New Roman" w:cs="Times New Roman"/>
        </w:rPr>
        <w:t>https://www.airandspaceforces.com/space-force-congress-growing-crunch-launch-facilities/</w:t>
      </w:r>
    </w:p>
  </w:footnote>
  <w:footnote w:id="44">
    <w:p w14:paraId="660EB6E5" w14:textId="5B2B46FC" w:rsidR="00035610" w:rsidRPr="0010176D" w:rsidRDefault="00035610">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Kotter, “Leading Change: Why Transformation Efforts Fail,” Harvard Business Review Press, January 2007, pg 1.</w:t>
      </w:r>
    </w:p>
  </w:footnote>
  <w:footnote w:id="45">
    <w:p w14:paraId="212BDFF6" w14:textId="4D15604B" w:rsidR="00F25C78" w:rsidRPr="0010176D" w:rsidRDefault="00F25C78">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#5, conducted by phone, March 26, 2026.</w:t>
      </w:r>
    </w:p>
  </w:footnote>
  <w:footnote w:id="46">
    <w:p w14:paraId="0F84409D" w14:textId="01BB183E" w:rsidR="0075374C" w:rsidRPr="0010176D" w:rsidRDefault="0075374C">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Federal Aviation Admini</w:t>
      </w:r>
      <w:r w:rsidR="005F1464" w:rsidRPr="0010176D">
        <w:rPr>
          <w:rFonts w:ascii="Times New Roman" w:hAnsi="Times New Roman" w:cs="Times New Roman"/>
        </w:rPr>
        <w:t>stration, “FAA Streamlines Commercial Space License Approvals,” March 17, 2026.  https://www.faa.gov/newsroom/faa-streamlines-commercial-space-license-approvals#</w:t>
      </w:r>
    </w:p>
  </w:footnote>
  <w:footnote w:id="47">
    <w:p w14:paraId="6DD05F9D" w14:textId="06C8B8E9" w:rsidR="00597852" w:rsidRPr="0010176D" w:rsidRDefault="00597852">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Daleo, </w:t>
      </w:r>
      <w:r w:rsidR="00760297" w:rsidRPr="0010176D">
        <w:rPr>
          <w:rFonts w:ascii="Times New Roman" w:hAnsi="Times New Roman" w:cs="Times New Roman"/>
        </w:rPr>
        <w:t>“</w:t>
      </w:r>
      <w:r w:rsidRPr="0010176D">
        <w:rPr>
          <w:rFonts w:ascii="Times New Roman" w:hAnsi="Times New Roman" w:cs="Times New Roman"/>
        </w:rPr>
        <w:t xml:space="preserve">Commercial Spaceflight Receives Boost with Trump Order,” </w:t>
      </w:r>
      <w:r w:rsidR="00760297" w:rsidRPr="0010176D">
        <w:rPr>
          <w:rFonts w:ascii="Times New Roman" w:hAnsi="Times New Roman" w:cs="Times New Roman"/>
        </w:rPr>
        <w:t xml:space="preserve">Astronomy, </w:t>
      </w:r>
      <w:r w:rsidRPr="0010176D">
        <w:rPr>
          <w:rFonts w:ascii="Times New Roman" w:hAnsi="Times New Roman" w:cs="Times New Roman"/>
        </w:rPr>
        <w:t>August 15, 202</w:t>
      </w:r>
      <w:r w:rsidR="00760297" w:rsidRPr="0010176D">
        <w:rPr>
          <w:rFonts w:ascii="Times New Roman" w:hAnsi="Times New Roman" w:cs="Times New Roman"/>
        </w:rPr>
        <w:t>5.</w:t>
      </w:r>
      <w:r w:rsidRPr="0010176D">
        <w:rPr>
          <w:rFonts w:ascii="Times New Roman" w:hAnsi="Times New Roman" w:cs="Times New Roman"/>
        </w:rPr>
        <w:t xml:space="preserve">  https://www.astronomy.com/space-exploration/space-launch-deregulation/</w:t>
      </w:r>
    </w:p>
  </w:footnote>
  <w:footnote w:id="48">
    <w:p w14:paraId="3BAAF247" w14:textId="29945B71" w:rsidR="00801401" w:rsidRDefault="00801401">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#5, conducted by phone, March 26, 2026.</w:t>
      </w:r>
    </w:p>
  </w:footnote>
  <w:footnote w:id="49">
    <w:p w14:paraId="19A59515" w14:textId="48B89D71" w:rsidR="00C62005" w:rsidRPr="0010176D" w:rsidRDefault="00C62005">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#1, conducted by phone, August 1, 2025.</w:t>
      </w:r>
    </w:p>
  </w:footnote>
  <w:footnote w:id="50">
    <w:p w14:paraId="15A27E76" w14:textId="597D2E74" w:rsidR="00C62005" w:rsidRPr="0010176D" w:rsidRDefault="00C62005">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#5, conducted by phone, March 26, 2026.</w:t>
      </w:r>
    </w:p>
  </w:footnote>
  <w:footnote w:id="51">
    <w:p w14:paraId="2C9B6B75" w14:textId="0B49EABA" w:rsidR="00C62005" w:rsidRPr="0010176D" w:rsidRDefault="00C62005">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Kotter, “Leading Change: Why Transformation Efforts Fail,” Harvard Business Review Press, January 2007, pg 1.</w:t>
      </w:r>
    </w:p>
  </w:footnote>
  <w:footnote w:id="52">
    <w:p w14:paraId="007D8C0D" w14:textId="35202CFD" w:rsidR="00445C69" w:rsidRPr="0010176D" w:rsidRDefault="00445C69">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industry launch provider leader, conducted by phone, April 10, 2026.</w:t>
      </w:r>
    </w:p>
  </w:footnote>
  <w:footnote w:id="53">
    <w:p w14:paraId="0526A56E" w14:textId="07B4964C" w:rsidR="00D8156B" w:rsidRDefault="00D8156B">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w:t>
      </w:r>
      <w:r w:rsidR="00183F2D" w:rsidRPr="0010176D">
        <w:rPr>
          <w:rFonts w:ascii="Times New Roman" w:hAnsi="Times New Roman" w:cs="Times New Roman"/>
        </w:rPr>
        <w:t>4</w:t>
      </w:r>
      <w:r w:rsidRPr="0010176D">
        <w:rPr>
          <w:rFonts w:ascii="Times New Roman" w:hAnsi="Times New Roman" w:cs="Times New Roman"/>
        </w:rPr>
        <w:t xml:space="preserve">, conducted by phone, </w:t>
      </w:r>
      <w:r w:rsidR="00183F2D" w:rsidRPr="0010176D">
        <w:rPr>
          <w:rFonts w:ascii="Times New Roman" w:hAnsi="Times New Roman" w:cs="Times New Roman"/>
        </w:rPr>
        <w:t>March 20, 2026</w:t>
      </w:r>
      <w:r w:rsidRPr="0010176D">
        <w:rPr>
          <w:rFonts w:ascii="Times New Roman" w:hAnsi="Times New Roman" w:cs="Times New Roman"/>
        </w:rPr>
        <w:t>.</w:t>
      </w:r>
    </w:p>
  </w:footnote>
  <w:footnote w:id="54">
    <w:p w14:paraId="72216E6C" w14:textId="77777777" w:rsidR="00C62005" w:rsidRPr="0010176D" w:rsidRDefault="00C62005" w:rsidP="00C62005">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#5, conducted by phone, March 26, 2026.</w:t>
      </w:r>
    </w:p>
  </w:footnote>
  <w:footnote w:id="55">
    <w:p w14:paraId="5797A1EC" w14:textId="1B50B0CC" w:rsidR="00C62005" w:rsidRPr="0010176D" w:rsidRDefault="00C62005">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w:t>
      </w:r>
      <w:r w:rsidR="00581B06" w:rsidRPr="0010176D">
        <w:rPr>
          <w:rFonts w:ascii="Times New Roman" w:hAnsi="Times New Roman" w:cs="Times New Roman"/>
        </w:rPr>
        <w:t>1</w:t>
      </w:r>
      <w:r w:rsidRPr="0010176D">
        <w:rPr>
          <w:rFonts w:ascii="Times New Roman" w:hAnsi="Times New Roman" w:cs="Times New Roman"/>
        </w:rPr>
        <w:t>, conducted by phone, August 1, 2025.</w:t>
      </w:r>
    </w:p>
  </w:footnote>
  <w:footnote w:id="56">
    <w:p w14:paraId="40742716" w14:textId="35D70453" w:rsidR="00C62005" w:rsidRPr="0010176D" w:rsidRDefault="00C62005">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Kotter, “Leading Change: Why Transformation Efforts Fail,” Harvard Business Review Press, January 2007, pg 7.</w:t>
      </w:r>
    </w:p>
  </w:footnote>
  <w:footnote w:id="57">
    <w:p w14:paraId="1346D3E5" w14:textId="36BD412F" w:rsidR="00C62005" w:rsidRPr="0010176D" w:rsidRDefault="00C62005">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Kotter, “Leading Change: Why Transformation Efforts Fail,” Harvard Business Review Press, January 2007, pg 1.</w:t>
      </w:r>
    </w:p>
  </w:footnote>
  <w:footnote w:id="58">
    <w:p w14:paraId="38C2CAF4" w14:textId="14D69F5A" w:rsidR="0064659B" w:rsidRPr="0010176D" w:rsidRDefault="0064659B">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Kotter, “Leading Change: Why Transformation Efforts Fail,” Harvard Business Review Press, January 2007, pg 4.</w:t>
      </w:r>
    </w:p>
  </w:footnote>
  <w:footnote w:id="59">
    <w:p w14:paraId="2D3769BD" w14:textId="299494F1" w:rsidR="001771DA" w:rsidRDefault="001771DA">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industry launch provider leader, conducted by phone, April 10, 2026.</w:t>
      </w:r>
    </w:p>
  </w:footnote>
  <w:footnote w:id="60">
    <w:p w14:paraId="6CB317C4" w14:textId="23520923" w:rsidR="00837E6E" w:rsidRPr="0010176D" w:rsidRDefault="00837E6E">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Kotter, “Leading Change: Why Transformation Efforts Fail,” Harvard Business Review Press, January 2007, </w:t>
      </w:r>
      <w:proofErr w:type="spellStart"/>
      <w:r w:rsidRPr="0010176D">
        <w:rPr>
          <w:rFonts w:ascii="Times New Roman" w:hAnsi="Times New Roman" w:cs="Times New Roman"/>
        </w:rPr>
        <w:t>pg</w:t>
      </w:r>
      <w:proofErr w:type="spellEnd"/>
      <w:r w:rsidRPr="0010176D">
        <w:rPr>
          <w:rFonts w:ascii="Times New Roman" w:hAnsi="Times New Roman" w:cs="Times New Roman"/>
        </w:rPr>
        <w:t xml:space="preserve"> 8.</w:t>
      </w:r>
    </w:p>
  </w:footnote>
  <w:footnote w:id="61">
    <w:p w14:paraId="1C37AD0E" w14:textId="4567B808" w:rsidR="004546FE" w:rsidRPr="0010176D" w:rsidRDefault="004546FE">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#3, conducted by phone, March 18, 2026.</w:t>
      </w:r>
    </w:p>
  </w:footnote>
  <w:footnote w:id="62">
    <w:p w14:paraId="5EE2B616" w14:textId="77777777" w:rsidR="00872522" w:rsidRDefault="00872522" w:rsidP="00872522">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#1, conducted by phone, March 18, 2026.</w:t>
      </w:r>
    </w:p>
  </w:footnote>
  <w:footnote w:id="63">
    <w:p w14:paraId="0D42BAF1" w14:textId="1FD48755" w:rsidR="00D7259E" w:rsidRPr="0010176D" w:rsidRDefault="00D7259E">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Author interview with U.S. Space Force leader #3, conducted by phone, March 18, 2026</w:t>
      </w:r>
      <w:r w:rsidR="00A10191">
        <w:rPr>
          <w:rFonts w:ascii="Times New Roman" w:hAnsi="Times New Roman" w:cs="Times New Roman"/>
        </w:rPr>
        <w:t>;</w:t>
      </w:r>
      <w:r w:rsidR="00F06CB3">
        <w:rPr>
          <w:rFonts w:ascii="Times New Roman" w:hAnsi="Times New Roman" w:cs="Times New Roman"/>
        </w:rPr>
        <w:t xml:space="preserve"> and</w:t>
      </w:r>
      <w:r w:rsidR="00A10191">
        <w:rPr>
          <w:rFonts w:ascii="Times New Roman" w:hAnsi="Times New Roman" w:cs="Times New Roman"/>
        </w:rPr>
        <w:t xml:space="preserve"> a</w:t>
      </w:r>
      <w:r w:rsidR="00A10191" w:rsidRPr="0010176D">
        <w:rPr>
          <w:rFonts w:ascii="Times New Roman" w:hAnsi="Times New Roman" w:cs="Times New Roman"/>
        </w:rPr>
        <w:t>uthor interview with FAA leaders, conducted by phone and in person, October 3, 2025.</w:t>
      </w:r>
      <w:r w:rsidR="00F06CB3">
        <w:rPr>
          <w:rFonts w:ascii="Times New Roman" w:hAnsi="Times New Roman" w:cs="Times New Roman"/>
        </w:rPr>
        <w:t xml:space="preserve"> </w:t>
      </w:r>
    </w:p>
  </w:footnote>
  <w:footnote w:id="64">
    <w:p w14:paraId="4D074F57" w14:textId="4C571931" w:rsidR="00CE45EB" w:rsidRDefault="00CE45EB">
      <w:pPr>
        <w:pStyle w:val="FootnoteText"/>
      </w:pPr>
      <w:r w:rsidRPr="0010176D">
        <w:rPr>
          <w:rStyle w:val="FootnoteReference"/>
          <w:rFonts w:ascii="Times New Roman" w:hAnsi="Times New Roman" w:cs="Times New Roman"/>
        </w:rPr>
        <w:footnoteRef/>
      </w:r>
      <w:r w:rsidRPr="0010176D">
        <w:rPr>
          <w:rFonts w:ascii="Times New Roman" w:hAnsi="Times New Roman" w:cs="Times New Roman"/>
        </w:rPr>
        <w:t xml:space="preserve"> See “Office of Spaceports” at </w:t>
      </w:r>
      <w:r w:rsidRPr="00A10191">
        <w:rPr>
          <w:rFonts w:ascii="Times New Roman" w:hAnsi="Times New Roman" w:cs="Times New Roman"/>
        </w:rPr>
        <w:t>https://www.faa.gov/space/office_spaceports</w:t>
      </w:r>
      <w:r w:rsidRPr="0010176D">
        <w:rPr>
          <w:rFonts w:ascii="Times New Roman" w:hAnsi="Times New Roman" w:cs="Times New Roman"/>
        </w:rPr>
        <w:t xml:space="preserve"> for additional details and the National Spaceport Interagency Working Group charter</w:t>
      </w:r>
    </w:p>
  </w:footnote>
  <w:footnote w:id="65">
    <w:p w14:paraId="05A278B1" w14:textId="77777777" w:rsidR="001D4D72" w:rsidRPr="0010176D" w:rsidRDefault="001D4D72" w:rsidP="001D4D72">
      <w:pPr>
        <w:pStyle w:val="FootnoteText"/>
        <w:rPr>
          <w:rFonts w:ascii="Times New Roman" w:hAnsi="Times New Roman" w:cs="Times New Roman"/>
        </w:rPr>
      </w:pPr>
      <w:r w:rsidRPr="0010176D">
        <w:rPr>
          <w:rStyle w:val="FootnoteReference"/>
          <w:rFonts w:ascii="Times New Roman" w:hAnsi="Times New Roman" w:cs="Times New Roman"/>
        </w:rPr>
        <w:footnoteRef/>
      </w:r>
      <w:r w:rsidRPr="0010176D">
        <w:rPr>
          <w:rFonts w:ascii="Times New Roman" w:hAnsi="Times New Roman" w:cs="Times New Roman"/>
        </w:rPr>
        <w:t xml:space="preserve"> U.S. Space Force, “Space Force Releases Principles for Space Access Resourcing Decisions,” July 16, 2025. https://www.spaceforce.mil/News/Article-Display/Article/4246866/space-force-releases-principles-for-space-access-resourcing-decisions/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E75"/>
    <w:multiLevelType w:val="multilevel"/>
    <w:tmpl w:val="12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77151"/>
    <w:multiLevelType w:val="multilevel"/>
    <w:tmpl w:val="241E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B4A5F"/>
    <w:multiLevelType w:val="multilevel"/>
    <w:tmpl w:val="BC24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44831"/>
    <w:multiLevelType w:val="hybridMultilevel"/>
    <w:tmpl w:val="AA703DF0"/>
    <w:lvl w:ilvl="0" w:tplc="BC58EC3E">
      <w:start w:val="1"/>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39357C"/>
    <w:multiLevelType w:val="multilevel"/>
    <w:tmpl w:val="0394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15B13"/>
    <w:multiLevelType w:val="multilevel"/>
    <w:tmpl w:val="595A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B2D98"/>
    <w:multiLevelType w:val="hybridMultilevel"/>
    <w:tmpl w:val="0372653E"/>
    <w:lvl w:ilvl="0" w:tplc="5F7818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7117F"/>
    <w:multiLevelType w:val="multilevel"/>
    <w:tmpl w:val="CE3A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B4503"/>
    <w:multiLevelType w:val="multilevel"/>
    <w:tmpl w:val="99EA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E7ADE"/>
    <w:multiLevelType w:val="multilevel"/>
    <w:tmpl w:val="E288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E4BD6"/>
    <w:multiLevelType w:val="multilevel"/>
    <w:tmpl w:val="2FD4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64AD0"/>
    <w:multiLevelType w:val="multilevel"/>
    <w:tmpl w:val="A0D8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626331"/>
    <w:multiLevelType w:val="multilevel"/>
    <w:tmpl w:val="35FE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15316"/>
    <w:multiLevelType w:val="multilevel"/>
    <w:tmpl w:val="5A88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72A34"/>
    <w:multiLevelType w:val="multilevel"/>
    <w:tmpl w:val="9146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1622B"/>
    <w:multiLevelType w:val="multilevel"/>
    <w:tmpl w:val="9A98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92518"/>
    <w:multiLevelType w:val="multilevel"/>
    <w:tmpl w:val="86BC4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1E713E"/>
    <w:multiLevelType w:val="hybridMultilevel"/>
    <w:tmpl w:val="967A2F94"/>
    <w:lvl w:ilvl="0" w:tplc="B980D42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B3206"/>
    <w:multiLevelType w:val="multilevel"/>
    <w:tmpl w:val="A0AC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0580F"/>
    <w:multiLevelType w:val="multilevel"/>
    <w:tmpl w:val="201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95AA4"/>
    <w:multiLevelType w:val="multilevel"/>
    <w:tmpl w:val="211A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92D9B"/>
    <w:multiLevelType w:val="multilevel"/>
    <w:tmpl w:val="821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ED32CE"/>
    <w:multiLevelType w:val="multilevel"/>
    <w:tmpl w:val="7B96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F33DF0"/>
    <w:multiLevelType w:val="multilevel"/>
    <w:tmpl w:val="DC1C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9A6985"/>
    <w:multiLevelType w:val="hybridMultilevel"/>
    <w:tmpl w:val="8946DDC4"/>
    <w:lvl w:ilvl="0" w:tplc="493C0E7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00FD8"/>
    <w:multiLevelType w:val="multilevel"/>
    <w:tmpl w:val="1F8C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909EA"/>
    <w:multiLevelType w:val="hybridMultilevel"/>
    <w:tmpl w:val="DEE0E65C"/>
    <w:lvl w:ilvl="0" w:tplc="4E4C36C8">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8733A"/>
    <w:multiLevelType w:val="multilevel"/>
    <w:tmpl w:val="93FA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C8532A"/>
    <w:multiLevelType w:val="multilevel"/>
    <w:tmpl w:val="555C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975304"/>
    <w:multiLevelType w:val="multilevel"/>
    <w:tmpl w:val="2FD2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362E7"/>
    <w:multiLevelType w:val="multilevel"/>
    <w:tmpl w:val="2332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092ABE"/>
    <w:multiLevelType w:val="multilevel"/>
    <w:tmpl w:val="F3D8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F15C73"/>
    <w:multiLevelType w:val="multilevel"/>
    <w:tmpl w:val="E21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5072ED"/>
    <w:multiLevelType w:val="multilevel"/>
    <w:tmpl w:val="8532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92923"/>
    <w:multiLevelType w:val="multilevel"/>
    <w:tmpl w:val="CF0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0A5D55"/>
    <w:multiLevelType w:val="multilevel"/>
    <w:tmpl w:val="A1F0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A5126"/>
    <w:multiLevelType w:val="hybridMultilevel"/>
    <w:tmpl w:val="90B26A14"/>
    <w:lvl w:ilvl="0" w:tplc="F6AA956A">
      <w:start w:val="1"/>
      <w:numFmt w:val="decimal"/>
      <w:lvlText w:val="%1."/>
      <w:lvlJc w:val="left"/>
      <w:pPr>
        <w:ind w:left="144" w:hanging="60"/>
      </w:pPr>
      <w:rPr>
        <w:rFonts w:ascii="Times New Roman" w:eastAsia="Times New Roman" w:hAnsi="Times New Roman" w:cs="Times New Roman" w:hint="default"/>
        <w:b w:val="0"/>
        <w:bCs w:val="0"/>
        <w:i w:val="0"/>
        <w:iCs w:val="0"/>
        <w:spacing w:val="0"/>
        <w:w w:val="99"/>
        <w:sz w:val="24"/>
        <w:szCs w:val="24"/>
        <w:lang w:val="en-US" w:eastAsia="en-US" w:bidi="ar-SA"/>
      </w:rPr>
    </w:lvl>
    <w:lvl w:ilvl="1" w:tplc="AD948804">
      <w:numFmt w:val="bullet"/>
      <w:lvlText w:val="•"/>
      <w:lvlJc w:val="left"/>
      <w:pPr>
        <w:ind w:left="1332" w:hanging="276"/>
      </w:pPr>
      <w:rPr>
        <w:rFonts w:hint="default"/>
        <w:lang w:val="en-US" w:eastAsia="en-US" w:bidi="ar-SA"/>
      </w:rPr>
    </w:lvl>
    <w:lvl w:ilvl="2" w:tplc="96780FE0">
      <w:numFmt w:val="bullet"/>
      <w:lvlText w:val="•"/>
      <w:lvlJc w:val="left"/>
      <w:pPr>
        <w:ind w:left="2304" w:hanging="276"/>
      </w:pPr>
      <w:rPr>
        <w:rFonts w:hint="default"/>
        <w:lang w:val="en-US" w:eastAsia="en-US" w:bidi="ar-SA"/>
      </w:rPr>
    </w:lvl>
    <w:lvl w:ilvl="3" w:tplc="6722F35C">
      <w:numFmt w:val="bullet"/>
      <w:lvlText w:val="•"/>
      <w:lvlJc w:val="left"/>
      <w:pPr>
        <w:ind w:left="3276" w:hanging="276"/>
      </w:pPr>
      <w:rPr>
        <w:rFonts w:hint="default"/>
        <w:lang w:val="en-US" w:eastAsia="en-US" w:bidi="ar-SA"/>
      </w:rPr>
    </w:lvl>
    <w:lvl w:ilvl="4" w:tplc="BB321918">
      <w:numFmt w:val="bullet"/>
      <w:lvlText w:val="•"/>
      <w:lvlJc w:val="left"/>
      <w:pPr>
        <w:ind w:left="4248" w:hanging="276"/>
      </w:pPr>
      <w:rPr>
        <w:rFonts w:hint="default"/>
        <w:lang w:val="en-US" w:eastAsia="en-US" w:bidi="ar-SA"/>
      </w:rPr>
    </w:lvl>
    <w:lvl w:ilvl="5" w:tplc="1968EFEA">
      <w:numFmt w:val="bullet"/>
      <w:lvlText w:val="•"/>
      <w:lvlJc w:val="left"/>
      <w:pPr>
        <w:ind w:left="5220" w:hanging="276"/>
      </w:pPr>
      <w:rPr>
        <w:rFonts w:hint="default"/>
        <w:lang w:val="en-US" w:eastAsia="en-US" w:bidi="ar-SA"/>
      </w:rPr>
    </w:lvl>
    <w:lvl w:ilvl="6" w:tplc="90D83B04">
      <w:numFmt w:val="bullet"/>
      <w:lvlText w:val="•"/>
      <w:lvlJc w:val="left"/>
      <w:pPr>
        <w:ind w:left="6192" w:hanging="276"/>
      </w:pPr>
      <w:rPr>
        <w:rFonts w:hint="default"/>
        <w:lang w:val="en-US" w:eastAsia="en-US" w:bidi="ar-SA"/>
      </w:rPr>
    </w:lvl>
    <w:lvl w:ilvl="7" w:tplc="6DD639EA">
      <w:numFmt w:val="bullet"/>
      <w:lvlText w:val="•"/>
      <w:lvlJc w:val="left"/>
      <w:pPr>
        <w:ind w:left="7164" w:hanging="276"/>
      </w:pPr>
      <w:rPr>
        <w:rFonts w:hint="default"/>
        <w:lang w:val="en-US" w:eastAsia="en-US" w:bidi="ar-SA"/>
      </w:rPr>
    </w:lvl>
    <w:lvl w:ilvl="8" w:tplc="1018CC20">
      <w:numFmt w:val="bullet"/>
      <w:lvlText w:val="•"/>
      <w:lvlJc w:val="left"/>
      <w:pPr>
        <w:ind w:left="8136" w:hanging="276"/>
      </w:pPr>
      <w:rPr>
        <w:rFonts w:hint="default"/>
        <w:lang w:val="en-US" w:eastAsia="en-US" w:bidi="ar-SA"/>
      </w:rPr>
    </w:lvl>
  </w:abstractNum>
  <w:abstractNum w:abstractNumId="37" w15:restartNumberingAfterBreak="0">
    <w:nsid w:val="7F924D0B"/>
    <w:multiLevelType w:val="multilevel"/>
    <w:tmpl w:val="E37E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42559">
    <w:abstractNumId w:val="21"/>
  </w:num>
  <w:num w:numId="2" w16cid:durableId="210269950">
    <w:abstractNumId w:val="25"/>
  </w:num>
  <w:num w:numId="3" w16cid:durableId="926578251">
    <w:abstractNumId w:val="17"/>
  </w:num>
  <w:num w:numId="4" w16cid:durableId="346293282">
    <w:abstractNumId w:val="6"/>
  </w:num>
  <w:num w:numId="5" w16cid:durableId="1017929631">
    <w:abstractNumId w:val="24"/>
  </w:num>
  <w:num w:numId="6" w16cid:durableId="2067482884">
    <w:abstractNumId w:val="36"/>
  </w:num>
  <w:num w:numId="7" w16cid:durableId="1163666385">
    <w:abstractNumId w:val="7"/>
  </w:num>
  <w:num w:numId="8" w16cid:durableId="297615519">
    <w:abstractNumId w:val="20"/>
  </w:num>
  <w:num w:numId="9" w16cid:durableId="1614946616">
    <w:abstractNumId w:val="0"/>
  </w:num>
  <w:num w:numId="10" w16cid:durableId="1817641528">
    <w:abstractNumId w:val="10"/>
  </w:num>
  <w:num w:numId="11" w16cid:durableId="978997626">
    <w:abstractNumId w:val="23"/>
  </w:num>
  <w:num w:numId="12" w16cid:durableId="274798394">
    <w:abstractNumId w:val="35"/>
  </w:num>
  <w:num w:numId="13" w16cid:durableId="1874951571">
    <w:abstractNumId w:val="32"/>
  </w:num>
  <w:num w:numId="14" w16cid:durableId="1848249236">
    <w:abstractNumId w:val="28"/>
  </w:num>
  <w:num w:numId="15" w16cid:durableId="1801335389">
    <w:abstractNumId w:val="19"/>
  </w:num>
  <w:num w:numId="16" w16cid:durableId="450636186">
    <w:abstractNumId w:val="30"/>
  </w:num>
  <w:num w:numId="17" w16cid:durableId="36862071">
    <w:abstractNumId w:val="13"/>
  </w:num>
  <w:num w:numId="18" w16cid:durableId="111899524">
    <w:abstractNumId w:val="12"/>
  </w:num>
  <w:num w:numId="19" w16cid:durableId="184753692">
    <w:abstractNumId w:val="9"/>
  </w:num>
  <w:num w:numId="20" w16cid:durableId="959603269">
    <w:abstractNumId w:val="22"/>
  </w:num>
  <w:num w:numId="21" w16cid:durableId="596788629">
    <w:abstractNumId w:val="16"/>
  </w:num>
  <w:num w:numId="22" w16cid:durableId="1274946270">
    <w:abstractNumId w:val="14"/>
  </w:num>
  <w:num w:numId="23" w16cid:durableId="1673141530">
    <w:abstractNumId w:val="2"/>
  </w:num>
  <w:num w:numId="24" w16cid:durableId="1980065602">
    <w:abstractNumId w:val="15"/>
  </w:num>
  <w:num w:numId="25" w16cid:durableId="819662888">
    <w:abstractNumId w:val="5"/>
  </w:num>
  <w:num w:numId="26" w16cid:durableId="342125017">
    <w:abstractNumId w:val="34"/>
  </w:num>
  <w:num w:numId="27" w16cid:durableId="2086295732">
    <w:abstractNumId w:val="33"/>
  </w:num>
  <w:num w:numId="28" w16cid:durableId="282738711">
    <w:abstractNumId w:val="29"/>
  </w:num>
  <w:num w:numId="29" w16cid:durableId="1435437454">
    <w:abstractNumId w:val="27"/>
  </w:num>
  <w:num w:numId="30" w16cid:durableId="575625555">
    <w:abstractNumId w:val="18"/>
  </w:num>
  <w:num w:numId="31" w16cid:durableId="426728386">
    <w:abstractNumId w:val="3"/>
  </w:num>
  <w:num w:numId="32" w16cid:durableId="411631803">
    <w:abstractNumId w:val="4"/>
  </w:num>
  <w:num w:numId="33" w16cid:durableId="2043750868">
    <w:abstractNumId w:val="8"/>
  </w:num>
  <w:num w:numId="34" w16cid:durableId="305355711">
    <w:abstractNumId w:val="31"/>
  </w:num>
  <w:num w:numId="35" w16cid:durableId="1424034767">
    <w:abstractNumId w:val="37"/>
  </w:num>
  <w:num w:numId="36" w16cid:durableId="1600065328">
    <w:abstractNumId w:val="11"/>
  </w:num>
  <w:num w:numId="37" w16cid:durableId="629629142">
    <w:abstractNumId w:val="1"/>
  </w:num>
  <w:num w:numId="38" w16cid:durableId="17704694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6E"/>
    <w:rsid w:val="00003710"/>
    <w:rsid w:val="000055F1"/>
    <w:rsid w:val="00005B7C"/>
    <w:rsid w:val="00010232"/>
    <w:rsid w:val="0001055C"/>
    <w:rsid w:val="000105E2"/>
    <w:rsid w:val="00010FAB"/>
    <w:rsid w:val="00011B88"/>
    <w:rsid w:val="000124A8"/>
    <w:rsid w:val="000131E0"/>
    <w:rsid w:val="0001535F"/>
    <w:rsid w:val="00020367"/>
    <w:rsid w:val="000205EA"/>
    <w:rsid w:val="000258AF"/>
    <w:rsid w:val="00025D6C"/>
    <w:rsid w:val="000268AE"/>
    <w:rsid w:val="00026904"/>
    <w:rsid w:val="00034E91"/>
    <w:rsid w:val="00035610"/>
    <w:rsid w:val="000357BC"/>
    <w:rsid w:val="00036038"/>
    <w:rsid w:val="000364B5"/>
    <w:rsid w:val="0003687E"/>
    <w:rsid w:val="000426CF"/>
    <w:rsid w:val="00043A2F"/>
    <w:rsid w:val="00044234"/>
    <w:rsid w:val="0004425F"/>
    <w:rsid w:val="00045A7D"/>
    <w:rsid w:val="0004689D"/>
    <w:rsid w:val="00047AAD"/>
    <w:rsid w:val="0005101A"/>
    <w:rsid w:val="00053519"/>
    <w:rsid w:val="0006082A"/>
    <w:rsid w:val="00061FB7"/>
    <w:rsid w:val="000623C3"/>
    <w:rsid w:val="00062BD8"/>
    <w:rsid w:val="0006346F"/>
    <w:rsid w:val="00065E55"/>
    <w:rsid w:val="00073CC8"/>
    <w:rsid w:val="00073D36"/>
    <w:rsid w:val="00075E0A"/>
    <w:rsid w:val="00076060"/>
    <w:rsid w:val="00076C26"/>
    <w:rsid w:val="00080810"/>
    <w:rsid w:val="00080924"/>
    <w:rsid w:val="00080D80"/>
    <w:rsid w:val="000825A6"/>
    <w:rsid w:val="000850E7"/>
    <w:rsid w:val="00087B4A"/>
    <w:rsid w:val="00087FCB"/>
    <w:rsid w:val="000900F6"/>
    <w:rsid w:val="00091895"/>
    <w:rsid w:val="0009247A"/>
    <w:rsid w:val="00095F01"/>
    <w:rsid w:val="000973DB"/>
    <w:rsid w:val="00097D5D"/>
    <w:rsid w:val="000A4867"/>
    <w:rsid w:val="000A7033"/>
    <w:rsid w:val="000A7EC7"/>
    <w:rsid w:val="000B1256"/>
    <w:rsid w:val="000B214A"/>
    <w:rsid w:val="000B6400"/>
    <w:rsid w:val="000C1B5F"/>
    <w:rsid w:val="000C1CA0"/>
    <w:rsid w:val="000C23E5"/>
    <w:rsid w:val="000C25C3"/>
    <w:rsid w:val="000C2F81"/>
    <w:rsid w:val="000C46D8"/>
    <w:rsid w:val="000C712D"/>
    <w:rsid w:val="000D09FC"/>
    <w:rsid w:val="000D1B90"/>
    <w:rsid w:val="000D45C0"/>
    <w:rsid w:val="000D4BCE"/>
    <w:rsid w:val="000D6860"/>
    <w:rsid w:val="000E1469"/>
    <w:rsid w:val="000E15FE"/>
    <w:rsid w:val="000E18B7"/>
    <w:rsid w:val="000E1AE1"/>
    <w:rsid w:val="000E43EF"/>
    <w:rsid w:val="000F1426"/>
    <w:rsid w:val="000F2415"/>
    <w:rsid w:val="000F263B"/>
    <w:rsid w:val="000F3C6A"/>
    <w:rsid w:val="000F45ED"/>
    <w:rsid w:val="000F5043"/>
    <w:rsid w:val="000F5734"/>
    <w:rsid w:val="0010176D"/>
    <w:rsid w:val="00102452"/>
    <w:rsid w:val="00105B50"/>
    <w:rsid w:val="00105F7B"/>
    <w:rsid w:val="00107F53"/>
    <w:rsid w:val="0011069B"/>
    <w:rsid w:val="001134F3"/>
    <w:rsid w:val="001155AD"/>
    <w:rsid w:val="0011560B"/>
    <w:rsid w:val="00115BAC"/>
    <w:rsid w:val="00116E20"/>
    <w:rsid w:val="00117AFF"/>
    <w:rsid w:val="00123303"/>
    <w:rsid w:val="00124318"/>
    <w:rsid w:val="00125C1B"/>
    <w:rsid w:val="0012680D"/>
    <w:rsid w:val="0012784E"/>
    <w:rsid w:val="00130948"/>
    <w:rsid w:val="00131C88"/>
    <w:rsid w:val="001326E8"/>
    <w:rsid w:val="00132717"/>
    <w:rsid w:val="00135198"/>
    <w:rsid w:val="00136433"/>
    <w:rsid w:val="001409BA"/>
    <w:rsid w:val="0014387B"/>
    <w:rsid w:val="0014407F"/>
    <w:rsid w:val="001460CB"/>
    <w:rsid w:val="001473F6"/>
    <w:rsid w:val="001527D8"/>
    <w:rsid w:val="00153BD3"/>
    <w:rsid w:val="001558C2"/>
    <w:rsid w:val="00156AFE"/>
    <w:rsid w:val="00156FEF"/>
    <w:rsid w:val="00157CB4"/>
    <w:rsid w:val="001604F1"/>
    <w:rsid w:val="00165847"/>
    <w:rsid w:val="001666FE"/>
    <w:rsid w:val="00172E1C"/>
    <w:rsid w:val="001748D7"/>
    <w:rsid w:val="001752DF"/>
    <w:rsid w:val="00175AF3"/>
    <w:rsid w:val="001761F6"/>
    <w:rsid w:val="0017713D"/>
    <w:rsid w:val="001771DA"/>
    <w:rsid w:val="00180CDE"/>
    <w:rsid w:val="001816C7"/>
    <w:rsid w:val="00182129"/>
    <w:rsid w:val="00183559"/>
    <w:rsid w:val="00183AD3"/>
    <w:rsid w:val="00183F2D"/>
    <w:rsid w:val="0018569B"/>
    <w:rsid w:val="00191EDF"/>
    <w:rsid w:val="0019242C"/>
    <w:rsid w:val="00193E83"/>
    <w:rsid w:val="00196109"/>
    <w:rsid w:val="0019665B"/>
    <w:rsid w:val="001978A4"/>
    <w:rsid w:val="001A4693"/>
    <w:rsid w:val="001A49EE"/>
    <w:rsid w:val="001A67EB"/>
    <w:rsid w:val="001A6CC7"/>
    <w:rsid w:val="001B2D91"/>
    <w:rsid w:val="001B3AB3"/>
    <w:rsid w:val="001B605C"/>
    <w:rsid w:val="001B645F"/>
    <w:rsid w:val="001C1E6C"/>
    <w:rsid w:val="001C2F2B"/>
    <w:rsid w:val="001C3FA8"/>
    <w:rsid w:val="001C4CA7"/>
    <w:rsid w:val="001C6049"/>
    <w:rsid w:val="001C73C3"/>
    <w:rsid w:val="001D1D9B"/>
    <w:rsid w:val="001D29C2"/>
    <w:rsid w:val="001D42FE"/>
    <w:rsid w:val="001D4D72"/>
    <w:rsid w:val="001D6042"/>
    <w:rsid w:val="001D608C"/>
    <w:rsid w:val="001D77B7"/>
    <w:rsid w:val="001E2486"/>
    <w:rsid w:val="001E3B13"/>
    <w:rsid w:val="001E48DF"/>
    <w:rsid w:val="001E4F82"/>
    <w:rsid w:val="001E6F28"/>
    <w:rsid w:val="001E76AE"/>
    <w:rsid w:val="001F0FFF"/>
    <w:rsid w:val="001F4242"/>
    <w:rsid w:val="001F50DC"/>
    <w:rsid w:val="001F58E3"/>
    <w:rsid w:val="001F6B53"/>
    <w:rsid w:val="00201D44"/>
    <w:rsid w:val="00203467"/>
    <w:rsid w:val="0020358D"/>
    <w:rsid w:val="0020559B"/>
    <w:rsid w:val="00206237"/>
    <w:rsid w:val="00206361"/>
    <w:rsid w:val="00206FE6"/>
    <w:rsid w:val="00207C36"/>
    <w:rsid w:val="00210784"/>
    <w:rsid w:val="00210AF6"/>
    <w:rsid w:val="002112FB"/>
    <w:rsid w:val="00211B25"/>
    <w:rsid w:val="00212505"/>
    <w:rsid w:val="002132EF"/>
    <w:rsid w:val="00213603"/>
    <w:rsid w:val="00215F7D"/>
    <w:rsid w:val="00217407"/>
    <w:rsid w:val="00217B84"/>
    <w:rsid w:val="00217BFA"/>
    <w:rsid w:val="00217C65"/>
    <w:rsid w:val="00217EEF"/>
    <w:rsid w:val="00220003"/>
    <w:rsid w:val="00220BF5"/>
    <w:rsid w:val="002214F0"/>
    <w:rsid w:val="00223232"/>
    <w:rsid w:val="002234A8"/>
    <w:rsid w:val="00225167"/>
    <w:rsid w:val="00225E25"/>
    <w:rsid w:val="00227380"/>
    <w:rsid w:val="00230063"/>
    <w:rsid w:val="00233BDE"/>
    <w:rsid w:val="00233DB5"/>
    <w:rsid w:val="00234872"/>
    <w:rsid w:val="00235A65"/>
    <w:rsid w:val="002403F9"/>
    <w:rsid w:val="0024099F"/>
    <w:rsid w:val="0024350E"/>
    <w:rsid w:val="002436B5"/>
    <w:rsid w:val="00247E08"/>
    <w:rsid w:val="002500DF"/>
    <w:rsid w:val="002503BC"/>
    <w:rsid w:val="0025256C"/>
    <w:rsid w:val="00253C95"/>
    <w:rsid w:val="002554DA"/>
    <w:rsid w:val="002627BA"/>
    <w:rsid w:val="00265E3B"/>
    <w:rsid w:val="002700C5"/>
    <w:rsid w:val="0027240F"/>
    <w:rsid w:val="00272B69"/>
    <w:rsid w:val="00277C63"/>
    <w:rsid w:val="002823DC"/>
    <w:rsid w:val="0028279C"/>
    <w:rsid w:val="00283C9C"/>
    <w:rsid w:val="0028413B"/>
    <w:rsid w:val="00292E46"/>
    <w:rsid w:val="00295A7E"/>
    <w:rsid w:val="002A3C4E"/>
    <w:rsid w:val="002A56E6"/>
    <w:rsid w:val="002A75DE"/>
    <w:rsid w:val="002B286E"/>
    <w:rsid w:val="002B323C"/>
    <w:rsid w:val="002C05CC"/>
    <w:rsid w:val="002C07F5"/>
    <w:rsid w:val="002C648B"/>
    <w:rsid w:val="002C7851"/>
    <w:rsid w:val="002D2E9F"/>
    <w:rsid w:val="002D3930"/>
    <w:rsid w:val="002D3CE5"/>
    <w:rsid w:val="002D3E0C"/>
    <w:rsid w:val="002D6BA9"/>
    <w:rsid w:val="002D786F"/>
    <w:rsid w:val="002D7AC6"/>
    <w:rsid w:val="002E39D8"/>
    <w:rsid w:val="002E5AA8"/>
    <w:rsid w:val="002F0E28"/>
    <w:rsid w:val="002F32CA"/>
    <w:rsid w:val="002F4C6E"/>
    <w:rsid w:val="002F6B5E"/>
    <w:rsid w:val="00300861"/>
    <w:rsid w:val="003009D5"/>
    <w:rsid w:val="00300A4D"/>
    <w:rsid w:val="00300B65"/>
    <w:rsid w:val="00303233"/>
    <w:rsid w:val="003034BD"/>
    <w:rsid w:val="003037BE"/>
    <w:rsid w:val="003068DB"/>
    <w:rsid w:val="003103AF"/>
    <w:rsid w:val="00311619"/>
    <w:rsid w:val="00312268"/>
    <w:rsid w:val="0031259C"/>
    <w:rsid w:val="00313432"/>
    <w:rsid w:val="003146B0"/>
    <w:rsid w:val="00314F35"/>
    <w:rsid w:val="00315BAA"/>
    <w:rsid w:val="00316F8D"/>
    <w:rsid w:val="00321E1D"/>
    <w:rsid w:val="00322BFB"/>
    <w:rsid w:val="003233AD"/>
    <w:rsid w:val="00325DA2"/>
    <w:rsid w:val="00325F1E"/>
    <w:rsid w:val="003271E3"/>
    <w:rsid w:val="003306DB"/>
    <w:rsid w:val="00331A06"/>
    <w:rsid w:val="00333492"/>
    <w:rsid w:val="003338E4"/>
    <w:rsid w:val="00333BAC"/>
    <w:rsid w:val="00334EDA"/>
    <w:rsid w:val="00341886"/>
    <w:rsid w:val="0034203A"/>
    <w:rsid w:val="0034254C"/>
    <w:rsid w:val="003468AE"/>
    <w:rsid w:val="003468BC"/>
    <w:rsid w:val="00346B7D"/>
    <w:rsid w:val="00346C85"/>
    <w:rsid w:val="00347EAD"/>
    <w:rsid w:val="00350E78"/>
    <w:rsid w:val="003512D8"/>
    <w:rsid w:val="0035271B"/>
    <w:rsid w:val="00353B59"/>
    <w:rsid w:val="00355E23"/>
    <w:rsid w:val="003578F5"/>
    <w:rsid w:val="00357A8C"/>
    <w:rsid w:val="00363F8E"/>
    <w:rsid w:val="003644F5"/>
    <w:rsid w:val="00364C3A"/>
    <w:rsid w:val="003658A7"/>
    <w:rsid w:val="00367527"/>
    <w:rsid w:val="00370A53"/>
    <w:rsid w:val="00375022"/>
    <w:rsid w:val="00382091"/>
    <w:rsid w:val="003820B7"/>
    <w:rsid w:val="003857F7"/>
    <w:rsid w:val="00385FDC"/>
    <w:rsid w:val="003865C4"/>
    <w:rsid w:val="0038732E"/>
    <w:rsid w:val="003874CE"/>
    <w:rsid w:val="00387F21"/>
    <w:rsid w:val="00391A1B"/>
    <w:rsid w:val="00397F35"/>
    <w:rsid w:val="003A189B"/>
    <w:rsid w:val="003A7313"/>
    <w:rsid w:val="003B36A3"/>
    <w:rsid w:val="003C195A"/>
    <w:rsid w:val="003C1B0A"/>
    <w:rsid w:val="003C2E28"/>
    <w:rsid w:val="003C35EB"/>
    <w:rsid w:val="003C3817"/>
    <w:rsid w:val="003C6EAB"/>
    <w:rsid w:val="003C7D7F"/>
    <w:rsid w:val="003C7EF1"/>
    <w:rsid w:val="003D1B59"/>
    <w:rsid w:val="003D3284"/>
    <w:rsid w:val="003D7167"/>
    <w:rsid w:val="003E0C0C"/>
    <w:rsid w:val="003E1B5B"/>
    <w:rsid w:val="003E4C45"/>
    <w:rsid w:val="003E4E95"/>
    <w:rsid w:val="003E55B9"/>
    <w:rsid w:val="003F085B"/>
    <w:rsid w:val="003F1508"/>
    <w:rsid w:val="003F195F"/>
    <w:rsid w:val="003F2522"/>
    <w:rsid w:val="003F3973"/>
    <w:rsid w:val="003F3C32"/>
    <w:rsid w:val="003F4B3D"/>
    <w:rsid w:val="003F4F90"/>
    <w:rsid w:val="003F73C4"/>
    <w:rsid w:val="00400AD4"/>
    <w:rsid w:val="004011EC"/>
    <w:rsid w:val="00401820"/>
    <w:rsid w:val="00404762"/>
    <w:rsid w:val="004108B7"/>
    <w:rsid w:val="00415CE1"/>
    <w:rsid w:val="00417F6B"/>
    <w:rsid w:val="004210EE"/>
    <w:rsid w:val="00421F8A"/>
    <w:rsid w:val="00422C78"/>
    <w:rsid w:val="00425BC5"/>
    <w:rsid w:val="00426801"/>
    <w:rsid w:val="004320E2"/>
    <w:rsid w:val="00432405"/>
    <w:rsid w:val="00434D86"/>
    <w:rsid w:val="00435E48"/>
    <w:rsid w:val="004364A4"/>
    <w:rsid w:val="004369BA"/>
    <w:rsid w:val="00441093"/>
    <w:rsid w:val="0044151E"/>
    <w:rsid w:val="00441889"/>
    <w:rsid w:val="00442CCF"/>
    <w:rsid w:val="004444B1"/>
    <w:rsid w:val="00445C69"/>
    <w:rsid w:val="00446EC5"/>
    <w:rsid w:val="004546FE"/>
    <w:rsid w:val="00454A10"/>
    <w:rsid w:val="00460ECB"/>
    <w:rsid w:val="00461278"/>
    <w:rsid w:val="004613A6"/>
    <w:rsid w:val="004613F5"/>
    <w:rsid w:val="00466340"/>
    <w:rsid w:val="00466B1C"/>
    <w:rsid w:val="004705DA"/>
    <w:rsid w:val="00473547"/>
    <w:rsid w:val="004763B6"/>
    <w:rsid w:val="00480ABA"/>
    <w:rsid w:val="00480FAC"/>
    <w:rsid w:val="004812D4"/>
    <w:rsid w:val="004838CF"/>
    <w:rsid w:val="00485180"/>
    <w:rsid w:val="00487383"/>
    <w:rsid w:val="00490D40"/>
    <w:rsid w:val="00490FF7"/>
    <w:rsid w:val="00491A58"/>
    <w:rsid w:val="004921DA"/>
    <w:rsid w:val="004929C3"/>
    <w:rsid w:val="00492D59"/>
    <w:rsid w:val="00496054"/>
    <w:rsid w:val="00497E3A"/>
    <w:rsid w:val="004A1244"/>
    <w:rsid w:val="004A47AA"/>
    <w:rsid w:val="004A7F49"/>
    <w:rsid w:val="004B12A0"/>
    <w:rsid w:val="004B3F48"/>
    <w:rsid w:val="004B4BC4"/>
    <w:rsid w:val="004B5221"/>
    <w:rsid w:val="004B5EA4"/>
    <w:rsid w:val="004B6846"/>
    <w:rsid w:val="004C0B24"/>
    <w:rsid w:val="004C4E03"/>
    <w:rsid w:val="004C6E7C"/>
    <w:rsid w:val="004D154C"/>
    <w:rsid w:val="004D1B80"/>
    <w:rsid w:val="004D3D11"/>
    <w:rsid w:val="004E06E6"/>
    <w:rsid w:val="004E0B9B"/>
    <w:rsid w:val="004E3C29"/>
    <w:rsid w:val="004E7F46"/>
    <w:rsid w:val="004F2C88"/>
    <w:rsid w:val="004F2F9D"/>
    <w:rsid w:val="004F4002"/>
    <w:rsid w:val="004F4EA0"/>
    <w:rsid w:val="004F5045"/>
    <w:rsid w:val="004F58D5"/>
    <w:rsid w:val="004F5DE1"/>
    <w:rsid w:val="00506B9A"/>
    <w:rsid w:val="00507191"/>
    <w:rsid w:val="0051028E"/>
    <w:rsid w:val="005117A9"/>
    <w:rsid w:val="00520220"/>
    <w:rsid w:val="00521BED"/>
    <w:rsid w:val="00521C54"/>
    <w:rsid w:val="00523501"/>
    <w:rsid w:val="005256DB"/>
    <w:rsid w:val="00527098"/>
    <w:rsid w:val="00531288"/>
    <w:rsid w:val="005317C1"/>
    <w:rsid w:val="00531E7B"/>
    <w:rsid w:val="00532A75"/>
    <w:rsid w:val="005359C0"/>
    <w:rsid w:val="005362C4"/>
    <w:rsid w:val="00537632"/>
    <w:rsid w:val="00537B54"/>
    <w:rsid w:val="00540C06"/>
    <w:rsid w:val="0054297B"/>
    <w:rsid w:val="0054464C"/>
    <w:rsid w:val="005472F7"/>
    <w:rsid w:val="00547AA5"/>
    <w:rsid w:val="0055184C"/>
    <w:rsid w:val="00551D9F"/>
    <w:rsid w:val="00552E55"/>
    <w:rsid w:val="00555429"/>
    <w:rsid w:val="00560D2D"/>
    <w:rsid w:val="0056212D"/>
    <w:rsid w:val="0056290D"/>
    <w:rsid w:val="005635E6"/>
    <w:rsid w:val="00563E58"/>
    <w:rsid w:val="00564516"/>
    <w:rsid w:val="00566E5E"/>
    <w:rsid w:val="005736E0"/>
    <w:rsid w:val="0057431D"/>
    <w:rsid w:val="005762E6"/>
    <w:rsid w:val="005800AA"/>
    <w:rsid w:val="00581B06"/>
    <w:rsid w:val="00582265"/>
    <w:rsid w:val="0058623B"/>
    <w:rsid w:val="0058637A"/>
    <w:rsid w:val="005914F3"/>
    <w:rsid w:val="00595A10"/>
    <w:rsid w:val="00596A26"/>
    <w:rsid w:val="00597852"/>
    <w:rsid w:val="005A0E29"/>
    <w:rsid w:val="005A11F1"/>
    <w:rsid w:val="005A5856"/>
    <w:rsid w:val="005A5C5F"/>
    <w:rsid w:val="005A7E25"/>
    <w:rsid w:val="005B09BA"/>
    <w:rsid w:val="005B3508"/>
    <w:rsid w:val="005B4B22"/>
    <w:rsid w:val="005C0741"/>
    <w:rsid w:val="005C5352"/>
    <w:rsid w:val="005D02DC"/>
    <w:rsid w:val="005D03A0"/>
    <w:rsid w:val="005D0CE3"/>
    <w:rsid w:val="005D0EE2"/>
    <w:rsid w:val="005D21F2"/>
    <w:rsid w:val="005D2249"/>
    <w:rsid w:val="005D3656"/>
    <w:rsid w:val="005D4BA1"/>
    <w:rsid w:val="005D75AA"/>
    <w:rsid w:val="005D7FBC"/>
    <w:rsid w:val="005E1D74"/>
    <w:rsid w:val="005E4544"/>
    <w:rsid w:val="005E71BC"/>
    <w:rsid w:val="005E7E22"/>
    <w:rsid w:val="005F1464"/>
    <w:rsid w:val="005F318A"/>
    <w:rsid w:val="005F4BF0"/>
    <w:rsid w:val="005F5CBF"/>
    <w:rsid w:val="005F68B6"/>
    <w:rsid w:val="00604492"/>
    <w:rsid w:val="0060456E"/>
    <w:rsid w:val="00610061"/>
    <w:rsid w:val="00610E68"/>
    <w:rsid w:val="0061229B"/>
    <w:rsid w:val="00613CD4"/>
    <w:rsid w:val="00615019"/>
    <w:rsid w:val="00620C13"/>
    <w:rsid w:val="00621BEF"/>
    <w:rsid w:val="0062217E"/>
    <w:rsid w:val="00625649"/>
    <w:rsid w:val="00627BBC"/>
    <w:rsid w:val="00631009"/>
    <w:rsid w:val="00631B76"/>
    <w:rsid w:val="0063374F"/>
    <w:rsid w:val="00634308"/>
    <w:rsid w:val="006353CE"/>
    <w:rsid w:val="00635959"/>
    <w:rsid w:val="00635D56"/>
    <w:rsid w:val="006378B4"/>
    <w:rsid w:val="00640834"/>
    <w:rsid w:val="00642BD9"/>
    <w:rsid w:val="00644535"/>
    <w:rsid w:val="00644968"/>
    <w:rsid w:val="00644B8E"/>
    <w:rsid w:val="0064530C"/>
    <w:rsid w:val="0064659B"/>
    <w:rsid w:val="006535F1"/>
    <w:rsid w:val="00654CD8"/>
    <w:rsid w:val="00654E0A"/>
    <w:rsid w:val="006553C9"/>
    <w:rsid w:val="006570C3"/>
    <w:rsid w:val="00657250"/>
    <w:rsid w:val="00661B1F"/>
    <w:rsid w:val="006625AF"/>
    <w:rsid w:val="006662C7"/>
    <w:rsid w:val="00666BCB"/>
    <w:rsid w:val="00670490"/>
    <w:rsid w:val="006707AE"/>
    <w:rsid w:val="0068170C"/>
    <w:rsid w:val="00681BBD"/>
    <w:rsid w:val="006824F2"/>
    <w:rsid w:val="006832B1"/>
    <w:rsid w:val="00683DB9"/>
    <w:rsid w:val="0068569A"/>
    <w:rsid w:val="006878DF"/>
    <w:rsid w:val="00690379"/>
    <w:rsid w:val="00690B5C"/>
    <w:rsid w:val="00696119"/>
    <w:rsid w:val="0069634A"/>
    <w:rsid w:val="00697653"/>
    <w:rsid w:val="006A0737"/>
    <w:rsid w:val="006A0806"/>
    <w:rsid w:val="006A1092"/>
    <w:rsid w:val="006A1427"/>
    <w:rsid w:val="006A2DC9"/>
    <w:rsid w:val="006A5656"/>
    <w:rsid w:val="006A7B44"/>
    <w:rsid w:val="006B0B72"/>
    <w:rsid w:val="006B0C2E"/>
    <w:rsid w:val="006B241E"/>
    <w:rsid w:val="006B3BEE"/>
    <w:rsid w:val="006B4C8F"/>
    <w:rsid w:val="006B6D39"/>
    <w:rsid w:val="006B78E9"/>
    <w:rsid w:val="006B7EAE"/>
    <w:rsid w:val="006C38F4"/>
    <w:rsid w:val="006C6EF2"/>
    <w:rsid w:val="006C7306"/>
    <w:rsid w:val="006D044F"/>
    <w:rsid w:val="006D06B4"/>
    <w:rsid w:val="006D1302"/>
    <w:rsid w:val="006D17EE"/>
    <w:rsid w:val="006D67CF"/>
    <w:rsid w:val="006E022B"/>
    <w:rsid w:val="006F1F6A"/>
    <w:rsid w:val="006F294B"/>
    <w:rsid w:val="006F6EB3"/>
    <w:rsid w:val="006F6ECA"/>
    <w:rsid w:val="006F7808"/>
    <w:rsid w:val="006F7F9A"/>
    <w:rsid w:val="00700BA1"/>
    <w:rsid w:val="00705CD2"/>
    <w:rsid w:val="00706FF5"/>
    <w:rsid w:val="007102D2"/>
    <w:rsid w:val="00714414"/>
    <w:rsid w:val="00715979"/>
    <w:rsid w:val="00717CC7"/>
    <w:rsid w:val="00720AC7"/>
    <w:rsid w:val="00723419"/>
    <w:rsid w:val="0072367E"/>
    <w:rsid w:val="00732D58"/>
    <w:rsid w:val="00734228"/>
    <w:rsid w:val="00735BBF"/>
    <w:rsid w:val="00735F02"/>
    <w:rsid w:val="00736AF1"/>
    <w:rsid w:val="00737E3B"/>
    <w:rsid w:val="00742029"/>
    <w:rsid w:val="00742AE0"/>
    <w:rsid w:val="00743795"/>
    <w:rsid w:val="00746863"/>
    <w:rsid w:val="007533DC"/>
    <w:rsid w:val="0075374C"/>
    <w:rsid w:val="007571A8"/>
    <w:rsid w:val="0076005A"/>
    <w:rsid w:val="00760297"/>
    <w:rsid w:val="007607B0"/>
    <w:rsid w:val="00762CB2"/>
    <w:rsid w:val="00764963"/>
    <w:rsid w:val="00770E5C"/>
    <w:rsid w:val="00771EE9"/>
    <w:rsid w:val="0077274C"/>
    <w:rsid w:val="0077312C"/>
    <w:rsid w:val="00774D0A"/>
    <w:rsid w:val="00776222"/>
    <w:rsid w:val="00780031"/>
    <w:rsid w:val="0078202B"/>
    <w:rsid w:val="007833CE"/>
    <w:rsid w:val="00784D8A"/>
    <w:rsid w:val="00786456"/>
    <w:rsid w:val="007869E3"/>
    <w:rsid w:val="0078778C"/>
    <w:rsid w:val="007931E5"/>
    <w:rsid w:val="00794FF5"/>
    <w:rsid w:val="007957E9"/>
    <w:rsid w:val="00796635"/>
    <w:rsid w:val="007A1A91"/>
    <w:rsid w:val="007A208B"/>
    <w:rsid w:val="007A236A"/>
    <w:rsid w:val="007A3570"/>
    <w:rsid w:val="007A5316"/>
    <w:rsid w:val="007A6720"/>
    <w:rsid w:val="007A7FBE"/>
    <w:rsid w:val="007B0120"/>
    <w:rsid w:val="007B073D"/>
    <w:rsid w:val="007B12CC"/>
    <w:rsid w:val="007B180F"/>
    <w:rsid w:val="007B3804"/>
    <w:rsid w:val="007B568B"/>
    <w:rsid w:val="007B72DD"/>
    <w:rsid w:val="007C14C6"/>
    <w:rsid w:val="007C3F23"/>
    <w:rsid w:val="007D27B6"/>
    <w:rsid w:val="007D4D19"/>
    <w:rsid w:val="007D4E0B"/>
    <w:rsid w:val="007D52A7"/>
    <w:rsid w:val="007D5E1E"/>
    <w:rsid w:val="007E33CE"/>
    <w:rsid w:val="007E376D"/>
    <w:rsid w:val="007F03B2"/>
    <w:rsid w:val="007F09EC"/>
    <w:rsid w:val="007F6801"/>
    <w:rsid w:val="007F7BAC"/>
    <w:rsid w:val="0080106F"/>
    <w:rsid w:val="00801401"/>
    <w:rsid w:val="00803D38"/>
    <w:rsid w:val="0081048C"/>
    <w:rsid w:val="00811094"/>
    <w:rsid w:val="00812034"/>
    <w:rsid w:val="00812C27"/>
    <w:rsid w:val="00813311"/>
    <w:rsid w:val="00816B06"/>
    <w:rsid w:val="00817E64"/>
    <w:rsid w:val="00820114"/>
    <w:rsid w:val="00822C44"/>
    <w:rsid w:val="00831252"/>
    <w:rsid w:val="0083136D"/>
    <w:rsid w:val="00832E82"/>
    <w:rsid w:val="0083317D"/>
    <w:rsid w:val="008335EA"/>
    <w:rsid w:val="00836862"/>
    <w:rsid w:val="008370E6"/>
    <w:rsid w:val="00837E6E"/>
    <w:rsid w:val="0084280B"/>
    <w:rsid w:val="008432F6"/>
    <w:rsid w:val="00845625"/>
    <w:rsid w:val="00851E70"/>
    <w:rsid w:val="008527AB"/>
    <w:rsid w:val="00854FCB"/>
    <w:rsid w:val="00856E4D"/>
    <w:rsid w:val="00857226"/>
    <w:rsid w:val="00861B3B"/>
    <w:rsid w:val="008625A6"/>
    <w:rsid w:val="00862EAF"/>
    <w:rsid w:val="00865112"/>
    <w:rsid w:val="00865253"/>
    <w:rsid w:val="008656F9"/>
    <w:rsid w:val="00867F9D"/>
    <w:rsid w:val="0087035E"/>
    <w:rsid w:val="00872522"/>
    <w:rsid w:val="00880DF8"/>
    <w:rsid w:val="0088300B"/>
    <w:rsid w:val="00883F4C"/>
    <w:rsid w:val="0088600C"/>
    <w:rsid w:val="00886FB7"/>
    <w:rsid w:val="00887792"/>
    <w:rsid w:val="00890C8B"/>
    <w:rsid w:val="00891A74"/>
    <w:rsid w:val="00891D17"/>
    <w:rsid w:val="00892C7F"/>
    <w:rsid w:val="00893155"/>
    <w:rsid w:val="00893F3F"/>
    <w:rsid w:val="008A3406"/>
    <w:rsid w:val="008A6604"/>
    <w:rsid w:val="008B0017"/>
    <w:rsid w:val="008B01D6"/>
    <w:rsid w:val="008B2DC3"/>
    <w:rsid w:val="008B3890"/>
    <w:rsid w:val="008B44D5"/>
    <w:rsid w:val="008B54E2"/>
    <w:rsid w:val="008B7D6C"/>
    <w:rsid w:val="008C1C09"/>
    <w:rsid w:val="008C4006"/>
    <w:rsid w:val="008C6833"/>
    <w:rsid w:val="008D0C8D"/>
    <w:rsid w:val="008D2DD1"/>
    <w:rsid w:val="008D387A"/>
    <w:rsid w:val="008D3E3B"/>
    <w:rsid w:val="008D6C6A"/>
    <w:rsid w:val="008E06B0"/>
    <w:rsid w:val="008E33A3"/>
    <w:rsid w:val="008E6AAC"/>
    <w:rsid w:val="008F19CE"/>
    <w:rsid w:val="008F280A"/>
    <w:rsid w:val="00900B13"/>
    <w:rsid w:val="00910DB3"/>
    <w:rsid w:val="00911481"/>
    <w:rsid w:val="00912103"/>
    <w:rsid w:val="009125E1"/>
    <w:rsid w:val="00913EC7"/>
    <w:rsid w:val="00917F0F"/>
    <w:rsid w:val="00920DBD"/>
    <w:rsid w:val="0092226B"/>
    <w:rsid w:val="009238C2"/>
    <w:rsid w:val="00924A83"/>
    <w:rsid w:val="009278E9"/>
    <w:rsid w:val="00931238"/>
    <w:rsid w:val="0093440F"/>
    <w:rsid w:val="00934645"/>
    <w:rsid w:val="00935D54"/>
    <w:rsid w:val="0094044F"/>
    <w:rsid w:val="0094647E"/>
    <w:rsid w:val="009468EA"/>
    <w:rsid w:val="00950301"/>
    <w:rsid w:val="0095437B"/>
    <w:rsid w:val="00954399"/>
    <w:rsid w:val="00955F3E"/>
    <w:rsid w:val="00955FEA"/>
    <w:rsid w:val="00957081"/>
    <w:rsid w:val="009570BD"/>
    <w:rsid w:val="00960493"/>
    <w:rsid w:val="009634FD"/>
    <w:rsid w:val="00965DC6"/>
    <w:rsid w:val="009666D0"/>
    <w:rsid w:val="0096690D"/>
    <w:rsid w:val="0097505C"/>
    <w:rsid w:val="00975A6F"/>
    <w:rsid w:val="00977BD0"/>
    <w:rsid w:val="00977CC2"/>
    <w:rsid w:val="00977F32"/>
    <w:rsid w:val="0098076F"/>
    <w:rsid w:val="00980D9D"/>
    <w:rsid w:val="009818CF"/>
    <w:rsid w:val="00983650"/>
    <w:rsid w:val="00984B0A"/>
    <w:rsid w:val="009860A7"/>
    <w:rsid w:val="00991E52"/>
    <w:rsid w:val="00991E6F"/>
    <w:rsid w:val="009A12C6"/>
    <w:rsid w:val="009A1561"/>
    <w:rsid w:val="009A1EF5"/>
    <w:rsid w:val="009A315B"/>
    <w:rsid w:val="009A33D4"/>
    <w:rsid w:val="009A3826"/>
    <w:rsid w:val="009A4690"/>
    <w:rsid w:val="009B08D1"/>
    <w:rsid w:val="009B106B"/>
    <w:rsid w:val="009B113C"/>
    <w:rsid w:val="009B148D"/>
    <w:rsid w:val="009B31E5"/>
    <w:rsid w:val="009B37CF"/>
    <w:rsid w:val="009B3EE6"/>
    <w:rsid w:val="009B4B53"/>
    <w:rsid w:val="009B6E8F"/>
    <w:rsid w:val="009C0E19"/>
    <w:rsid w:val="009C43C7"/>
    <w:rsid w:val="009C5990"/>
    <w:rsid w:val="009C71FF"/>
    <w:rsid w:val="009D129E"/>
    <w:rsid w:val="009D16CC"/>
    <w:rsid w:val="009D1DF3"/>
    <w:rsid w:val="009D3681"/>
    <w:rsid w:val="009D64F0"/>
    <w:rsid w:val="009D7B70"/>
    <w:rsid w:val="009E16A2"/>
    <w:rsid w:val="009E2057"/>
    <w:rsid w:val="009E37C8"/>
    <w:rsid w:val="009E3E4C"/>
    <w:rsid w:val="009E4455"/>
    <w:rsid w:val="009E5A89"/>
    <w:rsid w:val="009F03B4"/>
    <w:rsid w:val="009F03FD"/>
    <w:rsid w:val="009F0E7E"/>
    <w:rsid w:val="009F4605"/>
    <w:rsid w:val="009F469C"/>
    <w:rsid w:val="009F4710"/>
    <w:rsid w:val="009F7EA7"/>
    <w:rsid w:val="00A00353"/>
    <w:rsid w:val="00A03D1C"/>
    <w:rsid w:val="00A10191"/>
    <w:rsid w:val="00A132C1"/>
    <w:rsid w:val="00A21CE1"/>
    <w:rsid w:val="00A22CFC"/>
    <w:rsid w:val="00A251FA"/>
    <w:rsid w:val="00A254A9"/>
    <w:rsid w:val="00A2572E"/>
    <w:rsid w:val="00A267F2"/>
    <w:rsid w:val="00A32B3D"/>
    <w:rsid w:val="00A32F72"/>
    <w:rsid w:val="00A33864"/>
    <w:rsid w:val="00A33D9E"/>
    <w:rsid w:val="00A36B7B"/>
    <w:rsid w:val="00A40EFD"/>
    <w:rsid w:val="00A46E88"/>
    <w:rsid w:val="00A47580"/>
    <w:rsid w:val="00A500C3"/>
    <w:rsid w:val="00A5279A"/>
    <w:rsid w:val="00A53C8B"/>
    <w:rsid w:val="00A56120"/>
    <w:rsid w:val="00A567B9"/>
    <w:rsid w:val="00A61D66"/>
    <w:rsid w:val="00A6297E"/>
    <w:rsid w:val="00A648AF"/>
    <w:rsid w:val="00A65200"/>
    <w:rsid w:val="00A66F6C"/>
    <w:rsid w:val="00A70508"/>
    <w:rsid w:val="00A72F2B"/>
    <w:rsid w:val="00A7313A"/>
    <w:rsid w:val="00A76088"/>
    <w:rsid w:val="00A8018F"/>
    <w:rsid w:val="00A80836"/>
    <w:rsid w:val="00A821BC"/>
    <w:rsid w:val="00A82BA2"/>
    <w:rsid w:val="00A82EB9"/>
    <w:rsid w:val="00A83CC1"/>
    <w:rsid w:val="00A85A40"/>
    <w:rsid w:val="00A86A34"/>
    <w:rsid w:val="00A90450"/>
    <w:rsid w:val="00A915FD"/>
    <w:rsid w:val="00A91B6F"/>
    <w:rsid w:val="00A91EA9"/>
    <w:rsid w:val="00A923D0"/>
    <w:rsid w:val="00A93450"/>
    <w:rsid w:val="00A957D1"/>
    <w:rsid w:val="00A97F86"/>
    <w:rsid w:val="00AA315F"/>
    <w:rsid w:val="00AA45C7"/>
    <w:rsid w:val="00AA4957"/>
    <w:rsid w:val="00AA56A7"/>
    <w:rsid w:val="00AB1240"/>
    <w:rsid w:val="00AB2172"/>
    <w:rsid w:val="00AB26F4"/>
    <w:rsid w:val="00AB3095"/>
    <w:rsid w:val="00AB34FE"/>
    <w:rsid w:val="00AB473D"/>
    <w:rsid w:val="00AC0BC7"/>
    <w:rsid w:val="00AC118A"/>
    <w:rsid w:val="00AC1F37"/>
    <w:rsid w:val="00AC311B"/>
    <w:rsid w:val="00AC3943"/>
    <w:rsid w:val="00AC3C65"/>
    <w:rsid w:val="00AC4D25"/>
    <w:rsid w:val="00AC4EDE"/>
    <w:rsid w:val="00AC51BC"/>
    <w:rsid w:val="00AC762B"/>
    <w:rsid w:val="00AD1333"/>
    <w:rsid w:val="00AD1399"/>
    <w:rsid w:val="00AD3045"/>
    <w:rsid w:val="00AD3146"/>
    <w:rsid w:val="00AD49D2"/>
    <w:rsid w:val="00AD4C1F"/>
    <w:rsid w:val="00AD5AC1"/>
    <w:rsid w:val="00AD75CA"/>
    <w:rsid w:val="00AE037D"/>
    <w:rsid w:val="00AE2F71"/>
    <w:rsid w:val="00AE5FE0"/>
    <w:rsid w:val="00AF1425"/>
    <w:rsid w:val="00AF171C"/>
    <w:rsid w:val="00AF19A4"/>
    <w:rsid w:val="00AF2456"/>
    <w:rsid w:val="00AF2B5B"/>
    <w:rsid w:val="00AF52F1"/>
    <w:rsid w:val="00B03C15"/>
    <w:rsid w:val="00B04A06"/>
    <w:rsid w:val="00B06DAB"/>
    <w:rsid w:val="00B06ECF"/>
    <w:rsid w:val="00B10408"/>
    <w:rsid w:val="00B13480"/>
    <w:rsid w:val="00B16086"/>
    <w:rsid w:val="00B17165"/>
    <w:rsid w:val="00B1752C"/>
    <w:rsid w:val="00B20062"/>
    <w:rsid w:val="00B2093D"/>
    <w:rsid w:val="00B21E30"/>
    <w:rsid w:val="00B261C7"/>
    <w:rsid w:val="00B30BCA"/>
    <w:rsid w:val="00B30C68"/>
    <w:rsid w:val="00B319DC"/>
    <w:rsid w:val="00B31A94"/>
    <w:rsid w:val="00B32BA6"/>
    <w:rsid w:val="00B36B14"/>
    <w:rsid w:val="00B44084"/>
    <w:rsid w:val="00B474B0"/>
    <w:rsid w:val="00B476BE"/>
    <w:rsid w:val="00B50ACC"/>
    <w:rsid w:val="00B50C81"/>
    <w:rsid w:val="00B55167"/>
    <w:rsid w:val="00B56254"/>
    <w:rsid w:val="00B56BCA"/>
    <w:rsid w:val="00B60743"/>
    <w:rsid w:val="00B61548"/>
    <w:rsid w:val="00B62D88"/>
    <w:rsid w:val="00B6432D"/>
    <w:rsid w:val="00B6517B"/>
    <w:rsid w:val="00B70A40"/>
    <w:rsid w:val="00B71929"/>
    <w:rsid w:val="00B734AB"/>
    <w:rsid w:val="00B74494"/>
    <w:rsid w:val="00B75273"/>
    <w:rsid w:val="00B76520"/>
    <w:rsid w:val="00B80AD3"/>
    <w:rsid w:val="00B8118E"/>
    <w:rsid w:val="00B82C7E"/>
    <w:rsid w:val="00B852D8"/>
    <w:rsid w:val="00B8539C"/>
    <w:rsid w:val="00B853E0"/>
    <w:rsid w:val="00B868AD"/>
    <w:rsid w:val="00B909A9"/>
    <w:rsid w:val="00B92C29"/>
    <w:rsid w:val="00B945A0"/>
    <w:rsid w:val="00B966F1"/>
    <w:rsid w:val="00BA3E7F"/>
    <w:rsid w:val="00BB1458"/>
    <w:rsid w:val="00BB167B"/>
    <w:rsid w:val="00BB1DCE"/>
    <w:rsid w:val="00BB2051"/>
    <w:rsid w:val="00BB2903"/>
    <w:rsid w:val="00BB3B7F"/>
    <w:rsid w:val="00BB6A35"/>
    <w:rsid w:val="00BB7350"/>
    <w:rsid w:val="00BC0D4A"/>
    <w:rsid w:val="00BC36F4"/>
    <w:rsid w:val="00BC3C9F"/>
    <w:rsid w:val="00BC5925"/>
    <w:rsid w:val="00BD1813"/>
    <w:rsid w:val="00BD4800"/>
    <w:rsid w:val="00BD4AE1"/>
    <w:rsid w:val="00BD5E28"/>
    <w:rsid w:val="00BD7EF7"/>
    <w:rsid w:val="00BE002C"/>
    <w:rsid w:val="00BE091C"/>
    <w:rsid w:val="00BE0C70"/>
    <w:rsid w:val="00BE3522"/>
    <w:rsid w:val="00BE5DBD"/>
    <w:rsid w:val="00BE6776"/>
    <w:rsid w:val="00BE771D"/>
    <w:rsid w:val="00BE7CDB"/>
    <w:rsid w:val="00BF0704"/>
    <w:rsid w:val="00BF0E0E"/>
    <w:rsid w:val="00BF4099"/>
    <w:rsid w:val="00BF42A4"/>
    <w:rsid w:val="00C01201"/>
    <w:rsid w:val="00C0165D"/>
    <w:rsid w:val="00C0395E"/>
    <w:rsid w:val="00C04821"/>
    <w:rsid w:val="00C059DA"/>
    <w:rsid w:val="00C064CA"/>
    <w:rsid w:val="00C06C45"/>
    <w:rsid w:val="00C07801"/>
    <w:rsid w:val="00C11086"/>
    <w:rsid w:val="00C1184C"/>
    <w:rsid w:val="00C122D9"/>
    <w:rsid w:val="00C122EF"/>
    <w:rsid w:val="00C12329"/>
    <w:rsid w:val="00C1452D"/>
    <w:rsid w:val="00C14778"/>
    <w:rsid w:val="00C14B73"/>
    <w:rsid w:val="00C155DA"/>
    <w:rsid w:val="00C20190"/>
    <w:rsid w:val="00C20517"/>
    <w:rsid w:val="00C20EB7"/>
    <w:rsid w:val="00C21C10"/>
    <w:rsid w:val="00C222AB"/>
    <w:rsid w:val="00C22E5D"/>
    <w:rsid w:val="00C247DA"/>
    <w:rsid w:val="00C252ED"/>
    <w:rsid w:val="00C27489"/>
    <w:rsid w:val="00C2755C"/>
    <w:rsid w:val="00C302D2"/>
    <w:rsid w:val="00C328CB"/>
    <w:rsid w:val="00C33181"/>
    <w:rsid w:val="00C34551"/>
    <w:rsid w:val="00C420C3"/>
    <w:rsid w:val="00C43F7F"/>
    <w:rsid w:val="00C46CCB"/>
    <w:rsid w:val="00C476E0"/>
    <w:rsid w:val="00C479C5"/>
    <w:rsid w:val="00C55A78"/>
    <w:rsid w:val="00C5732C"/>
    <w:rsid w:val="00C610B5"/>
    <w:rsid w:val="00C62005"/>
    <w:rsid w:val="00C6521C"/>
    <w:rsid w:val="00C66311"/>
    <w:rsid w:val="00C668BA"/>
    <w:rsid w:val="00C7085C"/>
    <w:rsid w:val="00C72ECB"/>
    <w:rsid w:val="00C73803"/>
    <w:rsid w:val="00C754FF"/>
    <w:rsid w:val="00C76383"/>
    <w:rsid w:val="00C81012"/>
    <w:rsid w:val="00C83B5A"/>
    <w:rsid w:val="00C90684"/>
    <w:rsid w:val="00C91177"/>
    <w:rsid w:val="00C91DB2"/>
    <w:rsid w:val="00C9204D"/>
    <w:rsid w:val="00C930EC"/>
    <w:rsid w:val="00C96D5A"/>
    <w:rsid w:val="00C96F06"/>
    <w:rsid w:val="00C97304"/>
    <w:rsid w:val="00CA2142"/>
    <w:rsid w:val="00CA2611"/>
    <w:rsid w:val="00CA3876"/>
    <w:rsid w:val="00CA68BC"/>
    <w:rsid w:val="00CA6A5A"/>
    <w:rsid w:val="00CA7420"/>
    <w:rsid w:val="00CA7C9B"/>
    <w:rsid w:val="00CA7D4F"/>
    <w:rsid w:val="00CB02EE"/>
    <w:rsid w:val="00CB04D5"/>
    <w:rsid w:val="00CB7439"/>
    <w:rsid w:val="00CC321C"/>
    <w:rsid w:val="00CC52E1"/>
    <w:rsid w:val="00CC61D2"/>
    <w:rsid w:val="00CC6D09"/>
    <w:rsid w:val="00CC74EF"/>
    <w:rsid w:val="00CD02D5"/>
    <w:rsid w:val="00CD392E"/>
    <w:rsid w:val="00CD399C"/>
    <w:rsid w:val="00CD46C1"/>
    <w:rsid w:val="00CD5622"/>
    <w:rsid w:val="00CE348E"/>
    <w:rsid w:val="00CE429E"/>
    <w:rsid w:val="00CE45EB"/>
    <w:rsid w:val="00CE47C8"/>
    <w:rsid w:val="00CE56A5"/>
    <w:rsid w:val="00CE58D5"/>
    <w:rsid w:val="00CF12F3"/>
    <w:rsid w:val="00CF4255"/>
    <w:rsid w:val="00CF42A2"/>
    <w:rsid w:val="00CF6D4A"/>
    <w:rsid w:val="00CF79D1"/>
    <w:rsid w:val="00D05BF2"/>
    <w:rsid w:val="00D06977"/>
    <w:rsid w:val="00D07DED"/>
    <w:rsid w:val="00D110BB"/>
    <w:rsid w:val="00D12083"/>
    <w:rsid w:val="00D1371B"/>
    <w:rsid w:val="00D16F02"/>
    <w:rsid w:val="00D171CA"/>
    <w:rsid w:val="00D1777A"/>
    <w:rsid w:val="00D20FE9"/>
    <w:rsid w:val="00D23BB0"/>
    <w:rsid w:val="00D2431B"/>
    <w:rsid w:val="00D276DC"/>
    <w:rsid w:val="00D278D0"/>
    <w:rsid w:val="00D27D70"/>
    <w:rsid w:val="00D30179"/>
    <w:rsid w:val="00D317CA"/>
    <w:rsid w:val="00D351AD"/>
    <w:rsid w:val="00D355A7"/>
    <w:rsid w:val="00D40FDC"/>
    <w:rsid w:val="00D41960"/>
    <w:rsid w:val="00D44FD4"/>
    <w:rsid w:val="00D46D52"/>
    <w:rsid w:val="00D47604"/>
    <w:rsid w:val="00D51423"/>
    <w:rsid w:val="00D51550"/>
    <w:rsid w:val="00D528E4"/>
    <w:rsid w:val="00D544ED"/>
    <w:rsid w:val="00D569C8"/>
    <w:rsid w:val="00D572E3"/>
    <w:rsid w:val="00D574FC"/>
    <w:rsid w:val="00D579C3"/>
    <w:rsid w:val="00D62E26"/>
    <w:rsid w:val="00D658AD"/>
    <w:rsid w:val="00D6717A"/>
    <w:rsid w:val="00D67250"/>
    <w:rsid w:val="00D6770E"/>
    <w:rsid w:val="00D70131"/>
    <w:rsid w:val="00D70F94"/>
    <w:rsid w:val="00D71978"/>
    <w:rsid w:val="00D7259E"/>
    <w:rsid w:val="00D7467B"/>
    <w:rsid w:val="00D74E57"/>
    <w:rsid w:val="00D75F08"/>
    <w:rsid w:val="00D76BE4"/>
    <w:rsid w:val="00D778B0"/>
    <w:rsid w:val="00D8156B"/>
    <w:rsid w:val="00D81710"/>
    <w:rsid w:val="00D825CA"/>
    <w:rsid w:val="00D833D1"/>
    <w:rsid w:val="00D84C1D"/>
    <w:rsid w:val="00D8605C"/>
    <w:rsid w:val="00D87653"/>
    <w:rsid w:val="00D87B5E"/>
    <w:rsid w:val="00D93807"/>
    <w:rsid w:val="00D93D0C"/>
    <w:rsid w:val="00D95777"/>
    <w:rsid w:val="00D963CB"/>
    <w:rsid w:val="00D96E96"/>
    <w:rsid w:val="00D97209"/>
    <w:rsid w:val="00D973AF"/>
    <w:rsid w:val="00D9775C"/>
    <w:rsid w:val="00D97D9F"/>
    <w:rsid w:val="00DA20D0"/>
    <w:rsid w:val="00DA353D"/>
    <w:rsid w:val="00DA47E9"/>
    <w:rsid w:val="00DA4CF9"/>
    <w:rsid w:val="00DA50D9"/>
    <w:rsid w:val="00DA6AD1"/>
    <w:rsid w:val="00DA759C"/>
    <w:rsid w:val="00DB164E"/>
    <w:rsid w:val="00DB1BCE"/>
    <w:rsid w:val="00DB21FE"/>
    <w:rsid w:val="00DB61B9"/>
    <w:rsid w:val="00DB6D62"/>
    <w:rsid w:val="00DC2C4D"/>
    <w:rsid w:val="00DC4226"/>
    <w:rsid w:val="00DC64BF"/>
    <w:rsid w:val="00DD0AD2"/>
    <w:rsid w:val="00DD1A42"/>
    <w:rsid w:val="00DD2A9B"/>
    <w:rsid w:val="00DD2E48"/>
    <w:rsid w:val="00DD4B00"/>
    <w:rsid w:val="00DE3472"/>
    <w:rsid w:val="00DE35B2"/>
    <w:rsid w:val="00DE5BE8"/>
    <w:rsid w:val="00DE700E"/>
    <w:rsid w:val="00DF06A6"/>
    <w:rsid w:val="00DF38B8"/>
    <w:rsid w:val="00DF3D04"/>
    <w:rsid w:val="00DF4A0F"/>
    <w:rsid w:val="00DF4F35"/>
    <w:rsid w:val="00DF50B7"/>
    <w:rsid w:val="00DF523D"/>
    <w:rsid w:val="00DF5648"/>
    <w:rsid w:val="00DF651C"/>
    <w:rsid w:val="00DF7FE2"/>
    <w:rsid w:val="00E016E8"/>
    <w:rsid w:val="00E02439"/>
    <w:rsid w:val="00E0689B"/>
    <w:rsid w:val="00E06CCC"/>
    <w:rsid w:val="00E10B11"/>
    <w:rsid w:val="00E11374"/>
    <w:rsid w:val="00E16D19"/>
    <w:rsid w:val="00E1749B"/>
    <w:rsid w:val="00E202C1"/>
    <w:rsid w:val="00E20528"/>
    <w:rsid w:val="00E205FF"/>
    <w:rsid w:val="00E206F7"/>
    <w:rsid w:val="00E20B96"/>
    <w:rsid w:val="00E21EFF"/>
    <w:rsid w:val="00E2264D"/>
    <w:rsid w:val="00E23257"/>
    <w:rsid w:val="00E23AC6"/>
    <w:rsid w:val="00E23B29"/>
    <w:rsid w:val="00E2489A"/>
    <w:rsid w:val="00E25C65"/>
    <w:rsid w:val="00E2657B"/>
    <w:rsid w:val="00E27C04"/>
    <w:rsid w:val="00E313D3"/>
    <w:rsid w:val="00E33B79"/>
    <w:rsid w:val="00E352D7"/>
    <w:rsid w:val="00E3588E"/>
    <w:rsid w:val="00E35F40"/>
    <w:rsid w:val="00E37716"/>
    <w:rsid w:val="00E47280"/>
    <w:rsid w:val="00E50650"/>
    <w:rsid w:val="00E51839"/>
    <w:rsid w:val="00E52C2B"/>
    <w:rsid w:val="00E53BBF"/>
    <w:rsid w:val="00E54088"/>
    <w:rsid w:val="00E5533A"/>
    <w:rsid w:val="00E55409"/>
    <w:rsid w:val="00E559CA"/>
    <w:rsid w:val="00E56FA4"/>
    <w:rsid w:val="00E57A66"/>
    <w:rsid w:val="00E63BB2"/>
    <w:rsid w:val="00E63DC7"/>
    <w:rsid w:val="00E63EDE"/>
    <w:rsid w:val="00E6415B"/>
    <w:rsid w:val="00E65150"/>
    <w:rsid w:val="00E67009"/>
    <w:rsid w:val="00E67BEC"/>
    <w:rsid w:val="00E67C15"/>
    <w:rsid w:val="00E73143"/>
    <w:rsid w:val="00E7525B"/>
    <w:rsid w:val="00E76134"/>
    <w:rsid w:val="00E8103C"/>
    <w:rsid w:val="00E8562E"/>
    <w:rsid w:val="00E85B9B"/>
    <w:rsid w:val="00E86746"/>
    <w:rsid w:val="00E926ED"/>
    <w:rsid w:val="00E93659"/>
    <w:rsid w:val="00E939B2"/>
    <w:rsid w:val="00E9403B"/>
    <w:rsid w:val="00E965C2"/>
    <w:rsid w:val="00EA02BD"/>
    <w:rsid w:val="00EA48E7"/>
    <w:rsid w:val="00EA4E3D"/>
    <w:rsid w:val="00EA78A6"/>
    <w:rsid w:val="00EB0685"/>
    <w:rsid w:val="00EB2556"/>
    <w:rsid w:val="00EB4570"/>
    <w:rsid w:val="00EB591C"/>
    <w:rsid w:val="00EB5B35"/>
    <w:rsid w:val="00EB70FB"/>
    <w:rsid w:val="00EB73DA"/>
    <w:rsid w:val="00EC1800"/>
    <w:rsid w:val="00EC314C"/>
    <w:rsid w:val="00EC49D6"/>
    <w:rsid w:val="00EC53FB"/>
    <w:rsid w:val="00EC5586"/>
    <w:rsid w:val="00EC7B61"/>
    <w:rsid w:val="00EC7E86"/>
    <w:rsid w:val="00ED213D"/>
    <w:rsid w:val="00ED2CBE"/>
    <w:rsid w:val="00ED3E6F"/>
    <w:rsid w:val="00ED5ECF"/>
    <w:rsid w:val="00EE1EAD"/>
    <w:rsid w:val="00EE514A"/>
    <w:rsid w:val="00EE7474"/>
    <w:rsid w:val="00EE780F"/>
    <w:rsid w:val="00EF0B52"/>
    <w:rsid w:val="00EF496F"/>
    <w:rsid w:val="00EF4B39"/>
    <w:rsid w:val="00EF6BBF"/>
    <w:rsid w:val="00EF7793"/>
    <w:rsid w:val="00F03121"/>
    <w:rsid w:val="00F04FCA"/>
    <w:rsid w:val="00F05A1E"/>
    <w:rsid w:val="00F069DB"/>
    <w:rsid w:val="00F06CB3"/>
    <w:rsid w:val="00F06D1A"/>
    <w:rsid w:val="00F06EF5"/>
    <w:rsid w:val="00F07EE6"/>
    <w:rsid w:val="00F12E1B"/>
    <w:rsid w:val="00F132B6"/>
    <w:rsid w:val="00F1378F"/>
    <w:rsid w:val="00F15132"/>
    <w:rsid w:val="00F15BE6"/>
    <w:rsid w:val="00F238EB"/>
    <w:rsid w:val="00F23C85"/>
    <w:rsid w:val="00F25233"/>
    <w:rsid w:val="00F25C78"/>
    <w:rsid w:val="00F26AC8"/>
    <w:rsid w:val="00F276AF"/>
    <w:rsid w:val="00F30701"/>
    <w:rsid w:val="00F37CAC"/>
    <w:rsid w:val="00F42437"/>
    <w:rsid w:val="00F432CD"/>
    <w:rsid w:val="00F44064"/>
    <w:rsid w:val="00F4703F"/>
    <w:rsid w:val="00F50491"/>
    <w:rsid w:val="00F504CE"/>
    <w:rsid w:val="00F52D88"/>
    <w:rsid w:val="00F530B7"/>
    <w:rsid w:val="00F57663"/>
    <w:rsid w:val="00F6222F"/>
    <w:rsid w:val="00F66DD1"/>
    <w:rsid w:val="00F66F7E"/>
    <w:rsid w:val="00F67B66"/>
    <w:rsid w:val="00F714FE"/>
    <w:rsid w:val="00F71A80"/>
    <w:rsid w:val="00F73314"/>
    <w:rsid w:val="00F73D9D"/>
    <w:rsid w:val="00F76C60"/>
    <w:rsid w:val="00F77B3D"/>
    <w:rsid w:val="00F77CB8"/>
    <w:rsid w:val="00F81451"/>
    <w:rsid w:val="00F83609"/>
    <w:rsid w:val="00F921C4"/>
    <w:rsid w:val="00F934B4"/>
    <w:rsid w:val="00F95B3E"/>
    <w:rsid w:val="00FA0887"/>
    <w:rsid w:val="00FA10D3"/>
    <w:rsid w:val="00FA3560"/>
    <w:rsid w:val="00FA53FB"/>
    <w:rsid w:val="00FA5916"/>
    <w:rsid w:val="00FA5D98"/>
    <w:rsid w:val="00FB45C7"/>
    <w:rsid w:val="00FB77E2"/>
    <w:rsid w:val="00FC1E6A"/>
    <w:rsid w:val="00FC20C6"/>
    <w:rsid w:val="00FC2C24"/>
    <w:rsid w:val="00FC4951"/>
    <w:rsid w:val="00FC771F"/>
    <w:rsid w:val="00FC780D"/>
    <w:rsid w:val="00FD0C7A"/>
    <w:rsid w:val="00FD549C"/>
    <w:rsid w:val="00FD7A30"/>
    <w:rsid w:val="00FE2278"/>
    <w:rsid w:val="00FE28A9"/>
    <w:rsid w:val="00FE2B6C"/>
    <w:rsid w:val="00FE3073"/>
    <w:rsid w:val="00FE43B1"/>
    <w:rsid w:val="00FE7F94"/>
    <w:rsid w:val="00FF06E3"/>
    <w:rsid w:val="00FF0A03"/>
    <w:rsid w:val="00FF1422"/>
    <w:rsid w:val="00FF155F"/>
    <w:rsid w:val="00FF21F5"/>
    <w:rsid w:val="00FF4C4E"/>
    <w:rsid w:val="00FF4D2C"/>
    <w:rsid w:val="00FF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80D68"/>
  <w15:chartTrackingRefBased/>
  <w15:docId w15:val="{F03E09DD-9FEB-4C41-A53D-0C4D0D91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2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2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86E"/>
    <w:rPr>
      <w:rFonts w:eastAsiaTheme="majorEastAsia" w:cstheme="majorBidi"/>
      <w:color w:val="272727" w:themeColor="text1" w:themeTint="D8"/>
    </w:rPr>
  </w:style>
  <w:style w:type="paragraph" w:styleId="Title">
    <w:name w:val="Title"/>
    <w:basedOn w:val="Normal"/>
    <w:next w:val="Normal"/>
    <w:link w:val="TitleChar"/>
    <w:uiPriority w:val="10"/>
    <w:qFormat/>
    <w:rsid w:val="002B2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86E"/>
    <w:pPr>
      <w:spacing w:before="160"/>
      <w:jc w:val="center"/>
    </w:pPr>
    <w:rPr>
      <w:i/>
      <w:iCs/>
      <w:color w:val="404040" w:themeColor="text1" w:themeTint="BF"/>
    </w:rPr>
  </w:style>
  <w:style w:type="character" w:customStyle="1" w:styleId="QuoteChar">
    <w:name w:val="Quote Char"/>
    <w:basedOn w:val="DefaultParagraphFont"/>
    <w:link w:val="Quote"/>
    <w:uiPriority w:val="29"/>
    <w:rsid w:val="002B286E"/>
    <w:rPr>
      <w:i/>
      <w:iCs/>
      <w:color w:val="404040" w:themeColor="text1" w:themeTint="BF"/>
    </w:rPr>
  </w:style>
  <w:style w:type="paragraph" w:styleId="ListParagraph">
    <w:name w:val="List Paragraph"/>
    <w:basedOn w:val="Normal"/>
    <w:uiPriority w:val="34"/>
    <w:qFormat/>
    <w:rsid w:val="002B286E"/>
    <w:pPr>
      <w:ind w:left="720"/>
      <w:contextualSpacing/>
    </w:pPr>
  </w:style>
  <w:style w:type="character" w:styleId="IntenseEmphasis">
    <w:name w:val="Intense Emphasis"/>
    <w:basedOn w:val="DefaultParagraphFont"/>
    <w:uiPriority w:val="21"/>
    <w:qFormat/>
    <w:rsid w:val="002B286E"/>
    <w:rPr>
      <w:i/>
      <w:iCs/>
      <w:color w:val="0F4761" w:themeColor="accent1" w:themeShade="BF"/>
    </w:rPr>
  </w:style>
  <w:style w:type="paragraph" w:styleId="IntenseQuote">
    <w:name w:val="Intense Quote"/>
    <w:basedOn w:val="Normal"/>
    <w:next w:val="Normal"/>
    <w:link w:val="IntenseQuoteChar"/>
    <w:uiPriority w:val="30"/>
    <w:qFormat/>
    <w:rsid w:val="002B2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86E"/>
    <w:rPr>
      <w:i/>
      <w:iCs/>
      <w:color w:val="0F4761" w:themeColor="accent1" w:themeShade="BF"/>
    </w:rPr>
  </w:style>
  <w:style w:type="character" w:styleId="IntenseReference">
    <w:name w:val="Intense Reference"/>
    <w:basedOn w:val="DefaultParagraphFont"/>
    <w:uiPriority w:val="32"/>
    <w:qFormat/>
    <w:rsid w:val="002B286E"/>
    <w:rPr>
      <w:b/>
      <w:bCs/>
      <w:smallCaps/>
      <w:color w:val="0F4761" w:themeColor="accent1" w:themeShade="BF"/>
      <w:spacing w:val="5"/>
    </w:rPr>
  </w:style>
  <w:style w:type="character" w:styleId="Hyperlink">
    <w:name w:val="Hyperlink"/>
    <w:basedOn w:val="DefaultParagraphFont"/>
    <w:uiPriority w:val="99"/>
    <w:unhideWhenUsed/>
    <w:rsid w:val="004E0B9B"/>
    <w:rPr>
      <w:color w:val="467886" w:themeColor="hyperlink"/>
      <w:u w:val="single"/>
    </w:rPr>
  </w:style>
  <w:style w:type="character" w:styleId="UnresolvedMention">
    <w:name w:val="Unresolved Mention"/>
    <w:basedOn w:val="DefaultParagraphFont"/>
    <w:uiPriority w:val="99"/>
    <w:semiHidden/>
    <w:unhideWhenUsed/>
    <w:rsid w:val="004E0B9B"/>
    <w:rPr>
      <w:color w:val="605E5C"/>
      <w:shd w:val="clear" w:color="auto" w:fill="E1DFDD"/>
    </w:rPr>
  </w:style>
  <w:style w:type="paragraph" w:styleId="EndnoteText">
    <w:name w:val="endnote text"/>
    <w:basedOn w:val="Normal"/>
    <w:link w:val="EndnoteTextChar"/>
    <w:uiPriority w:val="99"/>
    <w:semiHidden/>
    <w:unhideWhenUsed/>
    <w:rsid w:val="00095F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5F01"/>
    <w:rPr>
      <w:sz w:val="20"/>
      <w:szCs w:val="20"/>
    </w:rPr>
  </w:style>
  <w:style w:type="character" w:styleId="EndnoteReference">
    <w:name w:val="endnote reference"/>
    <w:basedOn w:val="DefaultParagraphFont"/>
    <w:uiPriority w:val="99"/>
    <w:semiHidden/>
    <w:unhideWhenUsed/>
    <w:rsid w:val="00095F01"/>
    <w:rPr>
      <w:vertAlign w:val="superscript"/>
    </w:rPr>
  </w:style>
  <w:style w:type="paragraph" w:styleId="FootnoteText">
    <w:name w:val="footnote text"/>
    <w:basedOn w:val="Normal"/>
    <w:link w:val="FootnoteTextChar"/>
    <w:uiPriority w:val="99"/>
    <w:unhideWhenUsed/>
    <w:rsid w:val="00DD4B00"/>
    <w:pPr>
      <w:spacing w:after="0" w:line="240" w:lineRule="auto"/>
    </w:pPr>
    <w:rPr>
      <w:sz w:val="20"/>
      <w:szCs w:val="20"/>
    </w:rPr>
  </w:style>
  <w:style w:type="character" w:customStyle="1" w:styleId="FootnoteTextChar">
    <w:name w:val="Footnote Text Char"/>
    <w:basedOn w:val="DefaultParagraphFont"/>
    <w:link w:val="FootnoteText"/>
    <w:uiPriority w:val="99"/>
    <w:rsid w:val="00DD4B00"/>
    <w:rPr>
      <w:sz w:val="20"/>
      <w:szCs w:val="20"/>
    </w:rPr>
  </w:style>
  <w:style w:type="character" w:styleId="FootnoteReference">
    <w:name w:val="footnote reference"/>
    <w:basedOn w:val="DefaultParagraphFont"/>
    <w:uiPriority w:val="99"/>
    <w:semiHidden/>
    <w:unhideWhenUsed/>
    <w:rsid w:val="00DD4B00"/>
    <w:rPr>
      <w:vertAlign w:val="superscript"/>
    </w:rPr>
  </w:style>
  <w:style w:type="character" w:styleId="FollowedHyperlink">
    <w:name w:val="FollowedHyperlink"/>
    <w:basedOn w:val="DefaultParagraphFont"/>
    <w:uiPriority w:val="99"/>
    <w:semiHidden/>
    <w:unhideWhenUsed/>
    <w:rsid w:val="00A85A40"/>
    <w:rPr>
      <w:color w:val="96607D" w:themeColor="followedHyperlink"/>
      <w:u w:val="single"/>
    </w:rPr>
  </w:style>
  <w:style w:type="paragraph" w:customStyle="1" w:styleId="TitlePageDesignator">
    <w:name w:val="Title Page Designator"/>
    <w:basedOn w:val="Normal"/>
    <w:next w:val="Normal"/>
    <w:rsid w:val="00AD1399"/>
    <w:pPr>
      <w:keepNext/>
      <w:pageBreakBefore/>
      <w:spacing w:after="1200" w:line="240" w:lineRule="auto"/>
    </w:pPr>
    <w:rPr>
      <w:rFonts w:ascii="Times New Roman" w:eastAsia="Times New Roman" w:hAnsi="Times New Roman" w:cs="Times New Roman"/>
      <w:caps/>
      <w:kern w:val="0"/>
      <w:szCs w:val="20"/>
      <w14:ligatures w14:val="none"/>
    </w:rPr>
  </w:style>
  <w:style w:type="paragraph" w:customStyle="1" w:styleId="TitlePageSchool">
    <w:name w:val="Title Page School"/>
    <w:basedOn w:val="Normal"/>
    <w:next w:val="TitlePageUniversity"/>
    <w:rsid w:val="00025D6C"/>
    <w:pPr>
      <w:spacing w:after="480" w:line="240" w:lineRule="auto"/>
      <w:jc w:val="center"/>
    </w:pPr>
    <w:rPr>
      <w:rFonts w:ascii="Times New Roman" w:eastAsia="Times New Roman" w:hAnsi="Times New Roman" w:cs="Times New Roman"/>
      <w:caps/>
      <w:kern w:val="0"/>
      <w:szCs w:val="20"/>
      <w14:ligatures w14:val="none"/>
    </w:rPr>
  </w:style>
  <w:style w:type="paragraph" w:customStyle="1" w:styleId="TitlePageUniversity">
    <w:name w:val="Title Page University"/>
    <w:basedOn w:val="Normal"/>
    <w:next w:val="Normal"/>
    <w:rsid w:val="00025D6C"/>
    <w:pPr>
      <w:spacing w:after="1200" w:line="240" w:lineRule="auto"/>
      <w:jc w:val="center"/>
    </w:pPr>
    <w:rPr>
      <w:rFonts w:ascii="Times New Roman" w:eastAsia="Times New Roman" w:hAnsi="Times New Roman" w:cs="Times New Roman"/>
      <w:caps/>
      <w:kern w:val="0"/>
      <w:szCs w:val="20"/>
      <w14:ligatures w14:val="none"/>
    </w:rPr>
  </w:style>
  <w:style w:type="paragraph" w:customStyle="1" w:styleId="TitleLine1">
    <w:name w:val="Title Line 1"/>
    <w:basedOn w:val="Normal"/>
    <w:next w:val="Normal"/>
    <w:rsid w:val="00D278D0"/>
    <w:pPr>
      <w:keepNext/>
      <w:spacing w:after="360" w:line="240" w:lineRule="auto"/>
      <w:jc w:val="center"/>
    </w:pPr>
    <w:rPr>
      <w:rFonts w:ascii="Times New Roman" w:eastAsia="Times New Roman" w:hAnsi="Times New Roman" w:cs="Times New Roman"/>
      <w:caps/>
      <w:kern w:val="0"/>
      <w:sz w:val="32"/>
      <w:szCs w:val="20"/>
      <w14:ligatures w14:val="none"/>
    </w:rPr>
  </w:style>
  <w:style w:type="paragraph" w:customStyle="1" w:styleId="TitlePageBy">
    <w:name w:val="Title Page By"/>
    <w:basedOn w:val="Normal"/>
    <w:next w:val="Authors1Column"/>
    <w:rsid w:val="004D1B80"/>
    <w:pPr>
      <w:spacing w:after="360" w:line="240" w:lineRule="auto"/>
      <w:jc w:val="center"/>
    </w:pPr>
    <w:rPr>
      <w:rFonts w:ascii="Times New Roman" w:eastAsia="Times New Roman" w:hAnsi="Times New Roman" w:cs="Times New Roman"/>
      <w:kern w:val="0"/>
      <w:szCs w:val="20"/>
      <w14:ligatures w14:val="none"/>
    </w:rPr>
  </w:style>
  <w:style w:type="paragraph" w:customStyle="1" w:styleId="Authors1Column">
    <w:name w:val="Authors 1 Column"/>
    <w:basedOn w:val="Normal"/>
    <w:rsid w:val="004D1B80"/>
    <w:pPr>
      <w:spacing w:after="0" w:line="240" w:lineRule="auto"/>
      <w:jc w:val="center"/>
    </w:pPr>
    <w:rPr>
      <w:rFonts w:ascii="Times New Roman" w:eastAsia="Times New Roman" w:hAnsi="Times New Roman" w:cs="Times New Roman"/>
      <w:kern w:val="0"/>
      <w:szCs w:val="20"/>
      <w14:ligatures w14:val="none"/>
    </w:rPr>
  </w:style>
  <w:style w:type="paragraph" w:customStyle="1" w:styleId="Paragraph">
    <w:name w:val="Paragraph"/>
    <w:basedOn w:val="Normal"/>
    <w:link w:val="ParagraphChar"/>
    <w:qFormat/>
    <w:rsid w:val="003644F5"/>
    <w:pPr>
      <w:spacing w:after="0" w:line="480" w:lineRule="auto"/>
      <w:ind w:firstLine="432"/>
      <w:jc w:val="both"/>
    </w:pPr>
    <w:rPr>
      <w:rFonts w:ascii="Times New Roman" w:eastAsia="Times New Roman" w:hAnsi="Times New Roman" w:cs="Times New Roman"/>
      <w:kern w:val="0"/>
      <w:szCs w:val="20"/>
      <w14:ligatures w14:val="none"/>
    </w:rPr>
  </w:style>
  <w:style w:type="paragraph" w:customStyle="1" w:styleId="Disclaimer">
    <w:name w:val="Disclaimer"/>
    <w:basedOn w:val="Normal"/>
    <w:next w:val="Paragraph"/>
    <w:autoRedefine/>
    <w:qFormat/>
    <w:rsid w:val="003644F5"/>
    <w:pPr>
      <w:keepNext/>
      <w:pageBreakBefore/>
      <w:spacing w:before="5040" w:after="480" w:line="240" w:lineRule="auto"/>
      <w:jc w:val="center"/>
    </w:pPr>
    <w:rPr>
      <w:rFonts w:ascii="Times New Roman" w:eastAsia="Times New Roman" w:hAnsi="Times New Roman" w:cs="Times New Roman"/>
      <w:b/>
      <w:i/>
      <w:kern w:val="0"/>
      <w:sz w:val="28"/>
      <w:szCs w:val="20"/>
      <w14:ligatures w14:val="none"/>
    </w:rPr>
  </w:style>
  <w:style w:type="character" w:customStyle="1" w:styleId="ParagraphChar">
    <w:name w:val="Paragraph Char"/>
    <w:basedOn w:val="DefaultParagraphFont"/>
    <w:link w:val="Paragraph"/>
    <w:rsid w:val="003644F5"/>
    <w:rPr>
      <w:rFonts w:ascii="Times New Roman" w:eastAsia="Times New Roman" w:hAnsi="Times New Roman" w:cs="Times New Roman"/>
      <w:kern w:val="0"/>
      <w:szCs w:val="20"/>
      <w14:ligatures w14:val="none"/>
    </w:rPr>
  </w:style>
  <w:style w:type="paragraph" w:styleId="TOC1">
    <w:name w:val="toc 1"/>
    <w:basedOn w:val="Normal"/>
    <w:next w:val="Normal"/>
    <w:autoRedefine/>
    <w:uiPriority w:val="39"/>
    <w:unhideWhenUsed/>
    <w:rsid w:val="00EF4B39"/>
    <w:pPr>
      <w:spacing w:after="100"/>
    </w:pPr>
  </w:style>
  <w:style w:type="paragraph" w:styleId="Header">
    <w:name w:val="header"/>
    <w:basedOn w:val="Normal"/>
    <w:link w:val="HeaderChar"/>
    <w:uiPriority w:val="99"/>
    <w:unhideWhenUsed/>
    <w:rsid w:val="00282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79C"/>
  </w:style>
  <w:style w:type="paragraph" w:styleId="Footer">
    <w:name w:val="footer"/>
    <w:basedOn w:val="Normal"/>
    <w:link w:val="FooterChar"/>
    <w:uiPriority w:val="99"/>
    <w:unhideWhenUsed/>
    <w:rsid w:val="0028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DEDBD8FCDE849B9EC869A11D3DAFD" ma:contentTypeVersion="19" ma:contentTypeDescription="Create a new document." ma:contentTypeScope="" ma:versionID="7109adbbe8c2cc55d6e7671fa2a78a5e">
  <xsd:schema xmlns:xsd="http://www.w3.org/2001/XMLSchema" xmlns:xs="http://www.w3.org/2001/XMLSchema" xmlns:p="http://schemas.microsoft.com/office/2006/metadata/properties" xmlns:ns1="http://schemas.microsoft.com/sharepoint/v3" xmlns:ns2="cca31fd3-e266-414b-ad9e-ba62e09589e8" xmlns:ns3="2dd044c0-2197-45fb-ba38-22fd9a2a8a62" targetNamespace="http://schemas.microsoft.com/office/2006/metadata/properties" ma:root="true" ma:fieldsID="f2d701d9045907cdc761bd46385a8c85" ns1:_="" ns2:_="" ns3:_="">
    <xsd:import namespace="http://schemas.microsoft.com/sharepoint/v3"/>
    <xsd:import namespace="cca31fd3-e266-414b-ad9e-ba62e09589e8"/>
    <xsd:import namespace="2dd044c0-2197-45fb-ba38-22fd9a2a8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31fd3-e266-414b-ad9e-ba62e0958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ffaf5dc-3735-4fce-97e2-f6f35f147f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044c0-2197-45fb-ba38-22fd9a2a8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a2c250e-fcee-4ac1-a0a4-cacf12b7a9a6}" ma:internalName="TaxCatchAll" ma:showField="CatchAllData" ma:web="2dd044c0-2197-45fb-ba38-22fd9a2a8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31fd3-e266-414b-ad9e-ba62e09589e8">
      <Terms xmlns="http://schemas.microsoft.com/office/infopath/2007/PartnerControls"/>
    </lcf76f155ced4ddcb4097134ff3c332f>
    <TaxCatchAll xmlns="2dd044c0-2197-45fb-ba38-22fd9a2a8a62" xsi:nil="true"/>
  </documentManagement>
</p:properties>
</file>

<file path=customXml/itemProps1.xml><?xml version="1.0" encoding="utf-8"?>
<ds:datastoreItem xmlns:ds="http://schemas.openxmlformats.org/officeDocument/2006/customXml" ds:itemID="{F79F37F2-B47A-40B1-8E14-8A32A8CD855A}">
  <ds:schemaRefs>
    <ds:schemaRef ds:uri="http://schemas.openxmlformats.org/officeDocument/2006/bibliography"/>
  </ds:schemaRefs>
</ds:datastoreItem>
</file>

<file path=customXml/itemProps2.xml><?xml version="1.0" encoding="utf-8"?>
<ds:datastoreItem xmlns:ds="http://schemas.openxmlformats.org/officeDocument/2006/customXml" ds:itemID="{77EC6CA2-2E0C-4835-8810-79A778DB6465}"/>
</file>

<file path=customXml/itemProps3.xml><?xml version="1.0" encoding="utf-8"?>
<ds:datastoreItem xmlns:ds="http://schemas.openxmlformats.org/officeDocument/2006/customXml" ds:itemID="{1C6CB76D-8E4D-4324-80F1-37F3D32A4BBB}"/>
</file>

<file path=customXml/itemProps4.xml><?xml version="1.0" encoding="utf-8"?>
<ds:datastoreItem xmlns:ds="http://schemas.openxmlformats.org/officeDocument/2006/customXml" ds:itemID="{6D6DEE5F-D7D4-4FD0-9E12-BCDB216B2D66}"/>
</file>

<file path=docProps/app.xml><?xml version="1.0" encoding="utf-8"?>
<Properties xmlns="http://schemas.openxmlformats.org/officeDocument/2006/extended-properties" xmlns:vt="http://schemas.openxmlformats.org/officeDocument/2006/docPropsVTypes">
  <Template>Normal</Template>
  <TotalTime>19</TotalTime>
  <Pages>38</Pages>
  <Words>8710</Words>
  <Characters>52873</Characters>
  <Application>Microsoft Office Word</Application>
  <DocSecurity>0</DocSecurity>
  <Lines>881</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 David A.</dc:creator>
  <cp:keywords/>
  <dc:description/>
  <cp:lastModifiedBy>Schill, David</cp:lastModifiedBy>
  <cp:revision>7</cp:revision>
  <cp:lastPrinted>2025-12-04T13:49:00Z</cp:lastPrinted>
  <dcterms:created xsi:type="dcterms:W3CDTF">2026-04-15T21:16:00Z</dcterms:created>
  <dcterms:modified xsi:type="dcterms:W3CDTF">2026-04-15T21:38:00Z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0x010100B0DDEDBD8FCDE849B9EC869A11D3DAFD</vt:lpwstr>
  </property>
</Properties>
</file>