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2E97" w14:textId="73A74B59" w:rsidR="001F6C89" w:rsidRPr="000E0C5F" w:rsidRDefault="001F6C89" w:rsidP="002E54E8">
      <w:pPr>
        <w:jc w:val="center"/>
        <w:rPr>
          <w:rFonts w:asciiTheme="minorHAnsi" w:eastAsiaTheme="minorEastAsia" w:hAnsiTheme="minorHAnsi"/>
          <w:color w:val="156082" w:themeColor="accent1"/>
          <w:kern w:val="0"/>
          <w:sz w:val="22"/>
          <w:szCs w:val="22"/>
          <w14:ligatures w14:val="none"/>
        </w:rPr>
      </w:pP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r>
        <w:rPr>
          <w:rFonts w:asciiTheme="minorHAnsi" w:eastAsiaTheme="minorEastAsia" w:hAnsiTheme="minorHAnsi"/>
          <w:color w:val="156082" w:themeColor="accent1"/>
          <w:kern w:val="0"/>
          <w:sz w:val="22"/>
          <w:szCs w:val="22"/>
          <w14:ligatures w14:val="none"/>
        </w:rPr>
        <w:tab/>
      </w:r>
    </w:p>
    <w:p w14:paraId="3E212F64" w14:textId="77777777" w:rsidR="00AE46DB" w:rsidRPr="000E0C5F" w:rsidRDefault="00AE46DB" w:rsidP="00AE46DB">
      <w:pPr>
        <w:jc w:val="center"/>
        <w:rPr>
          <w:rFonts w:eastAsiaTheme="minorEastAsia" w:cs="Times New Roman"/>
          <w:kern w:val="0"/>
          <w:sz w:val="22"/>
          <w:szCs w:val="22"/>
          <w14:ligatures w14:val="none"/>
        </w:rPr>
      </w:pPr>
      <w:r>
        <w:rPr>
          <w:rFonts w:eastAsiaTheme="minorEastAsia" w:cs="Times New Roman"/>
          <w:kern w:val="0"/>
          <w:sz w:val="22"/>
          <w:szCs w:val="22"/>
          <w14:ligatures w14:val="none"/>
        </w:rPr>
        <w:t xml:space="preserve">AIR UNIVERSITY </w:t>
      </w:r>
    </w:p>
    <w:p w14:paraId="3C4E0C24" w14:textId="1A23E619" w:rsidR="001F6C89" w:rsidRPr="000E0C5F" w:rsidRDefault="00AE46DB" w:rsidP="00AE46DB">
      <w:pPr>
        <w:jc w:val="center"/>
        <w:rPr>
          <w:rFonts w:eastAsiaTheme="minorEastAsia" w:cs="Times New Roman"/>
          <w:kern w:val="0"/>
          <w:sz w:val="22"/>
          <w:szCs w:val="22"/>
          <w14:ligatures w14:val="none"/>
        </w:rPr>
      </w:pPr>
      <w:r>
        <w:rPr>
          <w:rFonts w:eastAsiaTheme="minorEastAsia" w:cs="Times New Roman"/>
          <w:kern w:val="0"/>
          <w:sz w:val="22"/>
          <w:szCs w:val="22"/>
          <w14:ligatures w14:val="none"/>
        </w:rPr>
        <w:t>AIR COMMAND AND STAFF COLLEGE</w:t>
      </w:r>
    </w:p>
    <w:p w14:paraId="129AF5DF" w14:textId="77777777" w:rsidR="001F6C89" w:rsidRPr="000E0C5F" w:rsidRDefault="001F6C89" w:rsidP="002E54E8">
      <w:pPr>
        <w:jc w:val="center"/>
        <w:rPr>
          <w:rFonts w:asciiTheme="minorHAnsi" w:eastAsiaTheme="minorEastAsia" w:hAnsiTheme="minorHAnsi"/>
          <w:color w:val="156082" w:themeColor="accent1"/>
          <w:kern w:val="0"/>
          <w:sz w:val="22"/>
          <w:szCs w:val="22"/>
          <w14:ligatures w14:val="none"/>
        </w:rPr>
      </w:pPr>
    </w:p>
    <w:p w14:paraId="24D9624D" w14:textId="77777777" w:rsidR="001F6C89" w:rsidRPr="000E0C5F" w:rsidRDefault="001F6C89" w:rsidP="002E54E8">
      <w:pPr>
        <w:jc w:val="center"/>
        <w:rPr>
          <w:rFonts w:asciiTheme="minorHAnsi" w:eastAsiaTheme="minorEastAsia" w:hAnsiTheme="minorHAnsi"/>
          <w:color w:val="156082" w:themeColor="accent1"/>
          <w:kern w:val="0"/>
          <w:sz w:val="22"/>
          <w:szCs w:val="22"/>
          <w14:ligatures w14:val="none"/>
        </w:rPr>
      </w:pPr>
    </w:p>
    <w:sdt>
      <w:sdtPr>
        <w:rPr>
          <w:rFonts w:asciiTheme="minorHAnsi" w:eastAsiaTheme="minorEastAsia" w:hAnsiTheme="minorHAnsi"/>
          <w:color w:val="156082" w:themeColor="accent1"/>
          <w:kern w:val="0"/>
          <w:sz w:val="22"/>
          <w:szCs w:val="22"/>
          <w:lang w:val="en-US"/>
          <w14:ligatures w14:val="none"/>
        </w:rPr>
        <w:id w:val="410360012"/>
        <w:docPartObj>
          <w:docPartGallery w:val="Cover Pages"/>
          <w:docPartUnique/>
        </w:docPartObj>
      </w:sdtPr>
      <w:sdtEndPr>
        <w:rPr>
          <w:rFonts w:cs="Times New Roman"/>
          <w:color w:val="auto"/>
        </w:rPr>
      </w:sdtEndPr>
      <w:sdtContent>
        <w:p w14:paraId="783D2C4C" w14:textId="205814E4" w:rsidR="002E54E8" w:rsidRPr="000E0C5F" w:rsidRDefault="002E54E8" w:rsidP="002E54E8">
          <w:pPr>
            <w:jc w:val="center"/>
            <w:rPr>
              <w:rFonts w:cs="Times New Roman"/>
            </w:rPr>
          </w:pPr>
        </w:p>
        <w:p w14:paraId="22B13F16" w14:textId="77777777" w:rsidR="00AE46DB" w:rsidRPr="000E0C5F" w:rsidRDefault="00AE46DB" w:rsidP="002E54E8">
          <w:pPr>
            <w:jc w:val="center"/>
            <w:rPr>
              <w:rFonts w:cs="Times New Roman"/>
            </w:rPr>
          </w:pPr>
        </w:p>
        <w:p w14:paraId="6BE88B12" w14:textId="77777777" w:rsidR="00AE46DB" w:rsidRPr="000E0C5F" w:rsidRDefault="00AE46DB" w:rsidP="002E54E8">
          <w:pPr>
            <w:jc w:val="center"/>
            <w:rPr>
              <w:rFonts w:cs="Times New Roman"/>
            </w:rPr>
          </w:pPr>
        </w:p>
        <w:p w14:paraId="5DD95566" w14:textId="04CDF2CE" w:rsidR="002E54E8" w:rsidRPr="000E0C5F" w:rsidRDefault="002E54E8" w:rsidP="002E54E8">
          <w:pPr>
            <w:jc w:val="center"/>
            <w:rPr>
              <w:rFonts w:cs="Times New Roman"/>
            </w:rPr>
          </w:pPr>
          <w:r>
            <w:rPr>
              <w:rFonts w:cs="Times New Roman"/>
            </w:rPr>
            <w:t>Standing on the Shoulders of Giants</w:t>
          </w:r>
        </w:p>
        <w:p w14:paraId="75AE0949" w14:textId="77777777" w:rsidR="002E54E8" w:rsidRPr="000E0C5F" w:rsidRDefault="002E54E8" w:rsidP="002E54E8">
          <w:pPr>
            <w:jc w:val="center"/>
            <w:rPr>
              <w:rFonts w:cs="Times New Roman"/>
            </w:rPr>
          </w:pPr>
          <w:r>
            <w:rPr>
              <w:rFonts w:cs="Times New Roman"/>
            </w:rPr>
            <w:t>A Space Security Strategy for Ireland &amp; Blueprint for Emerging Space Powers</w:t>
          </w:r>
        </w:p>
        <w:p w14:paraId="2E720864" w14:textId="77777777" w:rsidR="00AE46DB" w:rsidRPr="000E0C5F" w:rsidRDefault="00AE46DB" w:rsidP="002E54E8">
          <w:pPr>
            <w:jc w:val="center"/>
            <w:rPr>
              <w:rFonts w:cs="Times New Roman"/>
            </w:rPr>
          </w:pPr>
        </w:p>
        <w:p w14:paraId="31BE1353" w14:textId="77777777" w:rsidR="00AE46DB" w:rsidRPr="000E0C5F" w:rsidRDefault="00AE46DB" w:rsidP="002E54E8">
          <w:pPr>
            <w:jc w:val="center"/>
            <w:rPr>
              <w:rFonts w:cs="Times New Roman"/>
            </w:rPr>
          </w:pPr>
        </w:p>
        <w:p w14:paraId="42E9B88B" w14:textId="77777777" w:rsidR="00AE46DB" w:rsidRPr="000E0C5F" w:rsidRDefault="00AE46DB" w:rsidP="002E54E8">
          <w:pPr>
            <w:jc w:val="center"/>
            <w:rPr>
              <w:rFonts w:cs="Times New Roman"/>
            </w:rPr>
          </w:pPr>
        </w:p>
        <w:p w14:paraId="5172A638" w14:textId="77777777" w:rsidR="00AE46DB" w:rsidRPr="000E0C5F" w:rsidRDefault="00AE46DB" w:rsidP="002E54E8">
          <w:pPr>
            <w:jc w:val="center"/>
            <w:rPr>
              <w:rFonts w:cs="Times New Roman"/>
            </w:rPr>
          </w:pPr>
        </w:p>
        <w:p w14:paraId="0C6083EE" w14:textId="77777777" w:rsidR="00AE46DB" w:rsidRPr="000E0C5F" w:rsidRDefault="00AE46DB" w:rsidP="002E54E8">
          <w:pPr>
            <w:jc w:val="center"/>
            <w:rPr>
              <w:rFonts w:cs="Times New Roman"/>
            </w:rPr>
          </w:pPr>
        </w:p>
        <w:p w14:paraId="5D4B2129" w14:textId="77777777" w:rsidR="00AE46DB" w:rsidRPr="000E0C5F" w:rsidRDefault="00AE46DB" w:rsidP="002E54E8">
          <w:pPr>
            <w:jc w:val="center"/>
            <w:rPr>
              <w:rFonts w:cs="Times New Roman"/>
            </w:rPr>
          </w:pPr>
        </w:p>
        <w:p w14:paraId="1E083454" w14:textId="77777777" w:rsidR="00AE46DB" w:rsidRPr="000E0C5F" w:rsidRDefault="00AE46DB" w:rsidP="002E54E8">
          <w:pPr>
            <w:jc w:val="center"/>
            <w:rPr>
              <w:rFonts w:cs="Times New Roman"/>
            </w:rPr>
          </w:pPr>
        </w:p>
        <w:p w14:paraId="30A7308E" w14:textId="26441C8E" w:rsidR="002E54E8" w:rsidRPr="000E0C5F" w:rsidRDefault="002E54E8" w:rsidP="002E54E8">
          <w:pPr>
            <w:jc w:val="center"/>
            <w:rPr>
              <w:rFonts w:cs="Times New Roman"/>
            </w:rPr>
          </w:pPr>
          <w:r>
            <w:rPr>
              <w:rFonts w:cs="Times New Roman"/>
            </w:rPr>
            <w:t>Commandant Niall Fingleton</w:t>
          </w:r>
        </w:p>
        <w:p w14:paraId="18FE74F4" w14:textId="059920E1" w:rsidR="002E54E8" w:rsidRPr="000E0C5F" w:rsidRDefault="00AE46DB" w:rsidP="002E54E8">
          <w:pPr>
            <w:jc w:val="center"/>
            <w:rPr>
              <w:rFonts w:cs="Times New Roman"/>
            </w:rPr>
          </w:pPr>
          <w:r>
            <w:rPr>
              <w:rFonts w:cs="Times New Roman"/>
            </w:rPr>
            <w:t>Grisson Space Seminar</w:t>
          </w:r>
        </w:p>
        <w:p w14:paraId="4A4F88EE" w14:textId="5F04B438" w:rsidR="002E54E8" w:rsidRPr="000E0C5F" w:rsidRDefault="002E54E8" w:rsidP="00AE46DB">
          <w:pPr>
            <w:jc w:val="center"/>
            <w:rPr>
              <w:rFonts w:cs="Times New Roman"/>
            </w:rPr>
          </w:pPr>
          <w:r>
            <w:rPr>
              <w:rFonts w:cs="Times New Roman"/>
            </w:rPr>
            <w:t>03 Dec 2025</w:t>
          </w:r>
        </w:p>
        <w:p w14:paraId="7D322197" w14:textId="77777777" w:rsidR="00AE46DB" w:rsidRPr="000E0C5F" w:rsidRDefault="00AE46DB" w:rsidP="00AE46DB">
          <w:pPr>
            <w:jc w:val="center"/>
            <w:rPr>
              <w:rFonts w:cs="Times New Roman"/>
            </w:rPr>
          </w:pPr>
        </w:p>
        <w:p w14:paraId="06130B09" w14:textId="77777777" w:rsidR="00AE46DB" w:rsidRPr="000E0C5F" w:rsidRDefault="00AE46DB" w:rsidP="00AE46DB">
          <w:pPr>
            <w:pStyle w:val="Heading1"/>
            <w:jc w:val="center"/>
          </w:pPr>
          <w:bookmarkStart w:id="0" w:name="_Toc195638727"/>
          <w:bookmarkStart w:id="1" w:name="_Toc226533919"/>
          <w:r>
            <w:lastRenderedPageBreak/>
            <w:t>Disclaimer</w:t>
          </w:r>
          <w:bookmarkEnd w:id="0"/>
          <w:bookmarkEnd w:id="1"/>
        </w:p>
        <w:p w14:paraId="239B0AA0" w14:textId="77777777" w:rsidR="00AE46DB" w:rsidRPr="000E0C5F" w:rsidRDefault="00AE46DB" w:rsidP="00AE46DB">
          <w:pPr>
            <w:rPr>
              <w:rFonts w:cs="Times New Roman"/>
            </w:rPr>
          </w:pPr>
        </w:p>
        <w:p w14:paraId="0DF35200" w14:textId="302631CB" w:rsidR="00AE46DB" w:rsidRPr="000E0C5F" w:rsidRDefault="00AE46DB" w:rsidP="00AE46DB">
          <w:pPr>
            <w:rPr>
              <w:rFonts w:cs="Times New Roman"/>
            </w:rPr>
          </w:pPr>
          <w:r>
            <w:rPr>
              <w:rFonts w:cs="Times New Roman"/>
            </w:rPr>
            <w:t>Opinions, conclusions, and recommendations expressed or implied within are solely those of the author and do not necessarily represent the views of the Irish Air Corps, the Irish Defence Forces, the Department of Defence, or any other Irish government agency.</w:t>
          </w:r>
        </w:p>
        <w:p w14:paraId="4A9D947A" w14:textId="77777777" w:rsidR="00AE46DB" w:rsidRPr="000E0C5F" w:rsidRDefault="00AE46DB" w:rsidP="00AE46DB">
          <w:pPr>
            <w:rPr>
              <w:rFonts w:cs="Times New Roman"/>
            </w:rPr>
          </w:pPr>
        </w:p>
        <w:p w14:paraId="1A55FB4B" w14:textId="77777777" w:rsidR="00AE46DB" w:rsidRPr="000E0C5F" w:rsidRDefault="00AE46DB" w:rsidP="00AE46DB">
          <w:pPr>
            <w:pStyle w:val="Heading1"/>
            <w:jc w:val="center"/>
          </w:pPr>
          <w:bookmarkStart w:id="2" w:name="_Toc226533920"/>
          <w:r>
            <w:t>Artificial Intelligence Usage</w:t>
          </w:r>
          <w:bookmarkEnd w:id="2"/>
        </w:p>
        <w:p w14:paraId="6F962018" w14:textId="65EE24BD" w:rsidR="00AE46DB" w:rsidRPr="000E0C5F" w:rsidRDefault="00AE46DB" w:rsidP="00AE46DB">
          <w:pPr>
            <w:rPr>
              <w:rFonts w:cs="Times New Roman"/>
            </w:rPr>
          </w:pPr>
          <w:r>
            <w:rPr>
              <w:rFonts w:cs="Times New Roman"/>
            </w:rPr>
            <w:t xml:space="preserve">This is the original work of the author done with the utilization of artificial intelligence for research suggestions, rewriting for clarity, and recommendations on cohesion, flow, logic, and analysing the effectiveness of arguments. Each chapter was rewritten by the author then put into Claude AI and prompted to rewrite for clarity utilizing the author’s examples. Finally, AI was utilized for completing the abstract. Artificial Intelligence prompt queries, iterations of before and after chapter versions, or the interrogations of the thesis and supporting evidence can be provided upon request. </w:t>
          </w:r>
        </w:p>
        <w:p w14:paraId="3885E7FF" w14:textId="77777777" w:rsidR="002E54E8" w:rsidRPr="000E0C5F" w:rsidRDefault="002E54E8" w:rsidP="002E54E8">
          <w:pPr>
            <w:pStyle w:val="NoSpacing"/>
            <w:spacing w:before="1540" w:after="240"/>
            <w:jc w:val="center"/>
            <w:rPr>
              <w:rFonts w:cs="Times New Roman"/>
              <w:lang w:val="en-IE"/>
            </w:rPr>
          </w:pPr>
        </w:p>
        <w:p w14:paraId="34F31593" w14:textId="77777777" w:rsidR="00AE46DB" w:rsidRPr="000E0C5F" w:rsidRDefault="00AE46DB" w:rsidP="002E54E8">
          <w:pPr>
            <w:spacing w:after="160" w:line="278" w:lineRule="auto"/>
            <w:rPr>
              <w:b/>
              <w:bCs/>
            </w:rPr>
          </w:pPr>
        </w:p>
        <w:p w14:paraId="4DDBD8A5" w14:textId="6275B6DC" w:rsidR="00AE46DB" w:rsidRPr="000E0C5F" w:rsidRDefault="00AE46DB">
          <w:pPr>
            <w:spacing w:after="160" w:line="278" w:lineRule="auto"/>
            <w:rPr>
              <w:b/>
              <w:bCs/>
            </w:rPr>
          </w:pPr>
          <w:r>
            <w:rPr>
              <w:b/>
              <w:bCs/>
            </w:rPr>
            <w:br w:type="page"/>
          </w:r>
        </w:p>
        <w:p w14:paraId="27B1CCAA" w14:textId="2857DD91" w:rsidR="002E54E8" w:rsidRPr="000E0C5F" w:rsidRDefault="002E54E8" w:rsidP="006E4A26">
          <w:pPr>
            <w:pStyle w:val="Heading1"/>
            <w:spacing w:line="408" w:lineRule="auto"/>
            <w:rPr>
              <w:rFonts w:asciiTheme="minorHAnsi" w:eastAsiaTheme="minorEastAsia" w:hAnsiTheme="minorHAnsi" w:cs="Times New Roman"/>
              <w:kern w:val="0"/>
              <w:sz w:val="22"/>
              <w:szCs w:val="22"/>
              <w14:ligatures w14:val="none"/>
            </w:rPr>
          </w:pPr>
          <w:bookmarkStart w:id="3" w:name="_Toc226533921"/>
          <w:r>
            <w:lastRenderedPageBreak/>
            <w:t>Abstract</w:t>
          </w:r>
          <w:bookmarkEnd w:id="3"/>
        </w:p>
        <w:p w14:paraId="69F178CC" w14:textId="2E410305" w:rsidR="00DD1CAA" w:rsidRDefault="004D1B9B" w:rsidP="006E4A26">
          <w:pPr>
            <w:spacing w:after="160" w:line="408" w:lineRule="auto"/>
          </w:pPr>
          <w:r>
            <w:t>The space domain has become a decisive arena of strategic competition, yet Ireland, like most small states, has no viable model for navigating it. The international security environment that once permitted this gap has fundamentally changed. Russia’s sustained campaign of hybrid coercion, the partial erosion of US strategic guarantees signalled by the 2025 National Security Strategy, and the demonstrated vulnerability of space-enabled infrastructure in the war in Ukraine have converged to close whatever margin of strategic passivity small states once enjoyed. For Ireland, a digitally intensive open economy whose critical undersea cables, GNSS-dependent financial systems, and satellite communications constitute both national prosperity and a potential target set, the space domain is no longer a peripheral defence concern. It is inseparable from economic security, sovereign resilience, and the indivisibility of European security on its western flank. This paper argues that Ireland can achieve a credible space security posture without sovereign launch capability, indigenous satellite constellations, or great-power levels of investment. The answer is not to build anew from the ground up, but to build deliberately on the capabilities, alliances, and frameworks that more advanced actors have already established, leveraging the achievements of larger powers to generate disproportionate strategic effect from limited means. Drawing on classical and contemporary strategic theory, the paper identifies five imperatives for emerging space powers: institutionalising coherent space governance, cultivating cooperative alliances, integrating with commercial industries, developing selective indigenous niche capabilities, and hardening all-force resilience against space denial. These imperatives are applied to Ireland’s specific institutional, geographic, and political context, with particular attention to the maritime-space nexus, the structural constraints of the Air Corps, and the requirements of credible, resilient neutrality integrated within European security frameworks. The analysis culminates in a transferable blueprint designed to guide any small or emerging space power in converting constrained means into a credible deterrent posture; sequenced, fiscally realistic, and given the pace at which the domain is being contested, urgently needed.</w:t>
          </w:r>
          <w:r>
            <w:br w:type="page"/>
          </w:r>
        </w:p>
        <w:p w14:paraId="089334BD" w14:textId="66CA0ED1" w:rsidR="004D1B9B" w:rsidRPr="004D1B9B" w:rsidRDefault="00DD1CAA" w:rsidP="004D1B9B">
          <w:pPr>
            <w:tabs>
              <w:tab w:val="left" w:pos="3593"/>
            </w:tabs>
            <w:spacing w:after="160" w:line="278" w:lineRule="auto"/>
            <w:jc w:val="center"/>
          </w:pPr>
          <w:r>
            <w:lastRenderedPageBreak/>
            <w:t>Acknowledgements</w:t>
          </w:r>
        </w:p>
        <w:p w14:paraId="5C774620" w14:textId="6A74D8C2" w:rsidR="004D1B9B" w:rsidRDefault="004D1B9B" w:rsidP="004D1B9B">
          <w:pPr>
            <w:tabs>
              <w:tab w:val="left" w:pos="3593"/>
            </w:tabs>
            <w:spacing w:after="160"/>
            <w:rPr>
              <w:lang w:val="en-US"/>
            </w:rPr>
          </w:pPr>
          <w:r>
            <w:rPr>
              <w:lang w:val="en-US"/>
            </w:rPr>
            <w:t>First, to Ellen and Rowan, thank you for following me into a last-minute move to the United States with a newborn in tow. The support and patience you both gave me throughout this process was the foundation everything else was built on.</w:t>
          </w:r>
        </w:p>
        <w:p w14:paraId="7ADEB3EE" w14:textId="4630E2BD" w:rsidR="00DD1CAA" w:rsidRPr="00DD1CAA" w:rsidRDefault="00DD1CAA" w:rsidP="004D1B9B">
          <w:pPr>
            <w:tabs>
              <w:tab w:val="left" w:pos="3593"/>
            </w:tabs>
            <w:spacing w:after="160"/>
            <w:rPr>
              <w:lang w:val="en-US"/>
            </w:rPr>
          </w:pPr>
          <w:r>
            <w:rPr>
              <w:lang w:val="en-US"/>
            </w:rPr>
            <w:t>To my Grissom Space Seminar instructors, Dr. M.V. "Coyote" Smith and Lt Col Mike Mulligan, thank you for your valuable insights and excellent tutelage. To Lt Col Daniele Lins, thank you for your patience and your feedback at every stage of this paper.</w:t>
          </w:r>
        </w:p>
        <w:p w14:paraId="1332FE62" w14:textId="7B322268" w:rsidR="00DD1CAA" w:rsidRPr="000E0C5F" w:rsidRDefault="00DD1CAA" w:rsidP="004D1B9B">
          <w:pPr>
            <w:tabs>
              <w:tab w:val="left" w:pos="3593"/>
            </w:tabs>
            <w:spacing w:after="160"/>
          </w:pPr>
          <w:r>
            <w:t>Finally, to the faculty at Air Command and Staff College, and especially my instructors throughout the course, your passion and expertise made for an experience that was both challenging and genuinely enjoyable.</w:t>
          </w:r>
        </w:p>
        <w:p w14:paraId="14185325" w14:textId="043A7309" w:rsidR="002E54E8" w:rsidRPr="000E0C5F" w:rsidRDefault="00B63E67" w:rsidP="00B63E67">
          <w:pPr>
            <w:spacing w:after="160" w:line="278" w:lineRule="auto"/>
          </w:pPr>
          <w:r>
            <w:br w:type="page"/>
          </w:r>
        </w:p>
        <w:sdt>
          <w:sdtPr>
            <w:rPr>
              <w:rFonts w:eastAsiaTheme="minorHAnsi" w:cstheme="minorBidi"/>
              <w:kern w:val="2"/>
              <w:sz w:val="24"/>
              <w:szCs w:val="24"/>
              <w14:ligatures w14:val="standardContextual"/>
            </w:rPr>
            <w:id w:val="1873576427"/>
            <w:docPartObj>
              <w:docPartGallery w:val="Table of Contents"/>
              <w:docPartUnique/>
            </w:docPartObj>
          </w:sdtPr>
          <w:sdtEndPr>
            <w:rPr>
              <w:b/>
              <w:bCs/>
            </w:rPr>
          </w:sdtEndPr>
          <w:sdtContent>
            <w:p w14:paraId="461F9ADF" w14:textId="6DAD9915" w:rsidR="00B63E67" w:rsidRPr="000E0C5F" w:rsidRDefault="00B63E67">
              <w:pPr>
                <w:pStyle w:val="TOCHeading"/>
              </w:pPr>
              <w:r>
                <w:t>Table of Contents</w:t>
              </w:r>
            </w:p>
            <w:p w14:paraId="11711323" w14:textId="58B5C15E" w:rsidR="006A671F" w:rsidRDefault="00B63E67">
              <w:pPr>
                <w:pStyle w:val="TOC1"/>
                <w:tabs>
                  <w:tab w:val="right" w:leader="dot" w:pos="9350"/>
                </w:tabs>
                <w:rPr>
                  <w:rFonts w:asciiTheme="minorHAnsi" w:eastAsiaTheme="minorEastAsia" w:hAnsiTheme="minorHAnsi"/>
                  <w:noProof/>
                  <w:lang w:val="en-US"/>
                </w:rPr>
              </w:pPr>
              <w:r>
                <w:fldChar w:fldCharType="begin"/>
              </w:r>
              <w:r>
                <w:instrText xml:space="preserve"> TOC \o "1-3" \h \z \u </w:instrText>
              </w:r>
              <w:r>
                <w:fldChar w:fldCharType="separate"/>
              </w:r>
              <w:hyperlink w:anchor="_Toc226533919" w:history="1">
                <w:r w:rsidR="006A671F" w:rsidRPr="005A3586">
                  <w:rPr>
                    <w:rStyle w:val="Hyperlink"/>
                    <w:noProof/>
                  </w:rPr>
                  <w:t>Disclaimer</w:t>
                </w:r>
                <w:r w:rsidR="006A671F">
                  <w:rPr>
                    <w:noProof/>
                    <w:webHidden/>
                  </w:rPr>
                  <w:tab/>
                </w:r>
                <w:r w:rsidR="006A671F">
                  <w:rPr>
                    <w:noProof/>
                    <w:webHidden/>
                  </w:rPr>
                  <w:fldChar w:fldCharType="begin"/>
                </w:r>
                <w:r w:rsidR="006A671F">
                  <w:rPr>
                    <w:noProof/>
                    <w:webHidden/>
                  </w:rPr>
                  <w:instrText xml:space="preserve"> PAGEREF _Toc226533919 \h </w:instrText>
                </w:r>
                <w:r w:rsidR="006A671F">
                  <w:rPr>
                    <w:noProof/>
                    <w:webHidden/>
                  </w:rPr>
                </w:r>
                <w:r w:rsidR="006A671F">
                  <w:rPr>
                    <w:noProof/>
                    <w:webHidden/>
                  </w:rPr>
                  <w:fldChar w:fldCharType="separate"/>
                </w:r>
                <w:r w:rsidR="006A671F">
                  <w:rPr>
                    <w:noProof/>
                    <w:webHidden/>
                  </w:rPr>
                  <w:t>i</w:t>
                </w:r>
                <w:r w:rsidR="006A671F">
                  <w:rPr>
                    <w:noProof/>
                    <w:webHidden/>
                  </w:rPr>
                  <w:fldChar w:fldCharType="end"/>
                </w:r>
              </w:hyperlink>
            </w:p>
            <w:p w14:paraId="39F7D0E0" w14:textId="49C0CAE8" w:rsidR="006A671F" w:rsidRDefault="006A671F">
              <w:pPr>
                <w:pStyle w:val="TOC1"/>
                <w:tabs>
                  <w:tab w:val="right" w:leader="dot" w:pos="9350"/>
                </w:tabs>
                <w:rPr>
                  <w:rFonts w:asciiTheme="minorHAnsi" w:eastAsiaTheme="minorEastAsia" w:hAnsiTheme="minorHAnsi"/>
                  <w:noProof/>
                  <w:lang w:val="en-US"/>
                </w:rPr>
              </w:pPr>
              <w:hyperlink w:anchor="_Toc226533920" w:history="1">
                <w:r w:rsidRPr="005A3586">
                  <w:rPr>
                    <w:rStyle w:val="Hyperlink"/>
                    <w:noProof/>
                  </w:rPr>
                  <w:t>Artificial Intelligence Usage</w:t>
                </w:r>
                <w:r>
                  <w:rPr>
                    <w:noProof/>
                    <w:webHidden/>
                  </w:rPr>
                  <w:tab/>
                </w:r>
                <w:r>
                  <w:rPr>
                    <w:noProof/>
                    <w:webHidden/>
                  </w:rPr>
                  <w:fldChar w:fldCharType="begin"/>
                </w:r>
                <w:r>
                  <w:rPr>
                    <w:noProof/>
                    <w:webHidden/>
                  </w:rPr>
                  <w:instrText xml:space="preserve"> PAGEREF _Toc226533920 \h </w:instrText>
                </w:r>
                <w:r>
                  <w:rPr>
                    <w:noProof/>
                    <w:webHidden/>
                  </w:rPr>
                </w:r>
                <w:r>
                  <w:rPr>
                    <w:noProof/>
                    <w:webHidden/>
                  </w:rPr>
                  <w:fldChar w:fldCharType="separate"/>
                </w:r>
                <w:r>
                  <w:rPr>
                    <w:noProof/>
                    <w:webHidden/>
                  </w:rPr>
                  <w:t>i</w:t>
                </w:r>
                <w:r>
                  <w:rPr>
                    <w:noProof/>
                    <w:webHidden/>
                  </w:rPr>
                  <w:fldChar w:fldCharType="end"/>
                </w:r>
              </w:hyperlink>
            </w:p>
            <w:p w14:paraId="7314ECD3" w14:textId="02F8D86B" w:rsidR="006A671F" w:rsidRDefault="006A671F">
              <w:pPr>
                <w:pStyle w:val="TOC1"/>
                <w:tabs>
                  <w:tab w:val="right" w:leader="dot" w:pos="9350"/>
                </w:tabs>
                <w:rPr>
                  <w:rFonts w:asciiTheme="minorHAnsi" w:eastAsiaTheme="minorEastAsia" w:hAnsiTheme="minorHAnsi"/>
                  <w:noProof/>
                  <w:lang w:val="en-US"/>
                </w:rPr>
              </w:pPr>
              <w:hyperlink w:anchor="_Toc226533921" w:history="1">
                <w:r w:rsidRPr="005A3586">
                  <w:rPr>
                    <w:rStyle w:val="Hyperlink"/>
                    <w:noProof/>
                  </w:rPr>
                  <w:t>Abstract</w:t>
                </w:r>
                <w:r>
                  <w:rPr>
                    <w:noProof/>
                    <w:webHidden/>
                  </w:rPr>
                  <w:tab/>
                </w:r>
                <w:r>
                  <w:rPr>
                    <w:noProof/>
                    <w:webHidden/>
                  </w:rPr>
                  <w:fldChar w:fldCharType="begin"/>
                </w:r>
                <w:r>
                  <w:rPr>
                    <w:noProof/>
                    <w:webHidden/>
                  </w:rPr>
                  <w:instrText xml:space="preserve"> PAGEREF _Toc226533921 \h </w:instrText>
                </w:r>
                <w:r>
                  <w:rPr>
                    <w:noProof/>
                    <w:webHidden/>
                  </w:rPr>
                </w:r>
                <w:r>
                  <w:rPr>
                    <w:noProof/>
                    <w:webHidden/>
                  </w:rPr>
                  <w:fldChar w:fldCharType="separate"/>
                </w:r>
                <w:r>
                  <w:rPr>
                    <w:noProof/>
                    <w:webHidden/>
                  </w:rPr>
                  <w:t>ii</w:t>
                </w:r>
                <w:r>
                  <w:rPr>
                    <w:noProof/>
                    <w:webHidden/>
                  </w:rPr>
                  <w:fldChar w:fldCharType="end"/>
                </w:r>
              </w:hyperlink>
            </w:p>
            <w:p w14:paraId="04CE577D" w14:textId="6B35640F" w:rsidR="006A671F" w:rsidRDefault="006A671F">
              <w:pPr>
                <w:pStyle w:val="TOC1"/>
                <w:tabs>
                  <w:tab w:val="left" w:pos="480"/>
                  <w:tab w:val="right" w:leader="dot" w:pos="9350"/>
                </w:tabs>
                <w:rPr>
                  <w:rFonts w:asciiTheme="minorHAnsi" w:eastAsiaTheme="minorEastAsia" w:hAnsiTheme="minorHAnsi"/>
                  <w:noProof/>
                  <w:lang w:val="en-US"/>
                </w:rPr>
              </w:pPr>
              <w:hyperlink w:anchor="_Toc226533922" w:history="1">
                <w:r w:rsidRPr="005A3586">
                  <w:rPr>
                    <w:rStyle w:val="Hyperlink"/>
                    <w:noProof/>
                  </w:rPr>
                  <w:t>1.</w:t>
                </w:r>
                <w:r>
                  <w:rPr>
                    <w:rFonts w:asciiTheme="minorHAnsi" w:eastAsiaTheme="minorEastAsia" w:hAnsiTheme="minorHAnsi"/>
                    <w:noProof/>
                    <w:lang w:val="en-US"/>
                  </w:rPr>
                  <w:tab/>
                </w:r>
                <w:r w:rsidRPr="005A3586">
                  <w:rPr>
                    <w:rStyle w:val="Hyperlink"/>
                    <w:noProof/>
                  </w:rPr>
                  <w:t>INTRODUCTION</w:t>
                </w:r>
                <w:r>
                  <w:rPr>
                    <w:noProof/>
                    <w:webHidden/>
                  </w:rPr>
                  <w:tab/>
                </w:r>
                <w:r>
                  <w:rPr>
                    <w:noProof/>
                    <w:webHidden/>
                  </w:rPr>
                  <w:fldChar w:fldCharType="begin"/>
                </w:r>
                <w:r>
                  <w:rPr>
                    <w:noProof/>
                    <w:webHidden/>
                  </w:rPr>
                  <w:instrText xml:space="preserve"> PAGEREF _Toc226533922 \h </w:instrText>
                </w:r>
                <w:r>
                  <w:rPr>
                    <w:noProof/>
                    <w:webHidden/>
                  </w:rPr>
                </w:r>
                <w:r>
                  <w:rPr>
                    <w:noProof/>
                    <w:webHidden/>
                  </w:rPr>
                  <w:fldChar w:fldCharType="separate"/>
                </w:r>
                <w:r>
                  <w:rPr>
                    <w:noProof/>
                    <w:webHidden/>
                  </w:rPr>
                  <w:t>1</w:t>
                </w:r>
                <w:r>
                  <w:rPr>
                    <w:noProof/>
                    <w:webHidden/>
                  </w:rPr>
                  <w:fldChar w:fldCharType="end"/>
                </w:r>
              </w:hyperlink>
            </w:p>
            <w:p w14:paraId="7AFEFB32" w14:textId="644DFC12" w:rsidR="006A671F" w:rsidRDefault="006A671F">
              <w:pPr>
                <w:pStyle w:val="TOC2"/>
                <w:tabs>
                  <w:tab w:val="left" w:pos="960"/>
                  <w:tab w:val="right" w:leader="dot" w:pos="9350"/>
                </w:tabs>
                <w:rPr>
                  <w:rFonts w:asciiTheme="minorHAnsi" w:eastAsiaTheme="minorEastAsia" w:hAnsiTheme="minorHAnsi"/>
                  <w:noProof/>
                  <w:lang w:val="en-US"/>
                </w:rPr>
              </w:pPr>
              <w:hyperlink w:anchor="_Toc226533923" w:history="1">
                <w:r w:rsidRPr="005A3586">
                  <w:rPr>
                    <w:rStyle w:val="Hyperlink"/>
                    <w:noProof/>
                  </w:rPr>
                  <w:t>1.1.</w:t>
                </w:r>
                <w:r>
                  <w:rPr>
                    <w:rFonts w:asciiTheme="minorHAnsi" w:eastAsiaTheme="minorEastAsia" w:hAnsiTheme="minorHAnsi"/>
                    <w:noProof/>
                    <w:lang w:val="en-US"/>
                  </w:rPr>
                  <w:tab/>
                </w:r>
                <w:r w:rsidRPr="005A3586">
                  <w:rPr>
                    <w:rStyle w:val="Hyperlink"/>
                    <w:noProof/>
                  </w:rPr>
                  <w:t>The Space Domain</w:t>
                </w:r>
                <w:r>
                  <w:rPr>
                    <w:noProof/>
                    <w:webHidden/>
                  </w:rPr>
                  <w:tab/>
                </w:r>
                <w:r>
                  <w:rPr>
                    <w:noProof/>
                    <w:webHidden/>
                  </w:rPr>
                  <w:fldChar w:fldCharType="begin"/>
                </w:r>
                <w:r>
                  <w:rPr>
                    <w:noProof/>
                    <w:webHidden/>
                  </w:rPr>
                  <w:instrText xml:space="preserve"> PAGEREF _Toc226533923 \h </w:instrText>
                </w:r>
                <w:r>
                  <w:rPr>
                    <w:noProof/>
                    <w:webHidden/>
                  </w:rPr>
                </w:r>
                <w:r>
                  <w:rPr>
                    <w:noProof/>
                    <w:webHidden/>
                  </w:rPr>
                  <w:fldChar w:fldCharType="separate"/>
                </w:r>
                <w:r>
                  <w:rPr>
                    <w:noProof/>
                    <w:webHidden/>
                  </w:rPr>
                  <w:t>2</w:t>
                </w:r>
                <w:r>
                  <w:rPr>
                    <w:noProof/>
                    <w:webHidden/>
                  </w:rPr>
                  <w:fldChar w:fldCharType="end"/>
                </w:r>
              </w:hyperlink>
            </w:p>
            <w:p w14:paraId="22F7B47D" w14:textId="175A0CB5" w:rsidR="006A671F" w:rsidRDefault="006A671F">
              <w:pPr>
                <w:pStyle w:val="TOC3"/>
                <w:tabs>
                  <w:tab w:val="left" w:pos="1440"/>
                  <w:tab w:val="right" w:leader="dot" w:pos="9350"/>
                </w:tabs>
                <w:rPr>
                  <w:rFonts w:asciiTheme="minorHAnsi" w:eastAsiaTheme="minorEastAsia" w:hAnsiTheme="minorHAnsi"/>
                  <w:noProof/>
                  <w:lang w:val="en-US"/>
                </w:rPr>
              </w:pPr>
              <w:hyperlink w:anchor="_Toc226533924" w:history="1">
                <w:r w:rsidRPr="005A3586">
                  <w:rPr>
                    <w:rStyle w:val="Hyperlink"/>
                    <w:noProof/>
                  </w:rPr>
                  <w:t>1.1.1.</w:t>
                </w:r>
                <w:r>
                  <w:rPr>
                    <w:rFonts w:asciiTheme="minorHAnsi" w:eastAsiaTheme="minorEastAsia" w:hAnsiTheme="minorHAnsi"/>
                    <w:noProof/>
                    <w:lang w:val="en-US"/>
                  </w:rPr>
                  <w:tab/>
                </w:r>
                <w:r w:rsidRPr="005A3586">
                  <w:rPr>
                    <w:rStyle w:val="Hyperlink"/>
                    <w:noProof/>
                  </w:rPr>
                  <w:t>The Character of a Contested Domain</w:t>
                </w:r>
                <w:r>
                  <w:rPr>
                    <w:noProof/>
                    <w:webHidden/>
                  </w:rPr>
                  <w:tab/>
                </w:r>
                <w:r>
                  <w:rPr>
                    <w:noProof/>
                    <w:webHidden/>
                  </w:rPr>
                  <w:fldChar w:fldCharType="begin"/>
                </w:r>
                <w:r>
                  <w:rPr>
                    <w:noProof/>
                    <w:webHidden/>
                  </w:rPr>
                  <w:instrText xml:space="preserve"> PAGEREF _Toc226533924 \h </w:instrText>
                </w:r>
                <w:r>
                  <w:rPr>
                    <w:noProof/>
                    <w:webHidden/>
                  </w:rPr>
                </w:r>
                <w:r>
                  <w:rPr>
                    <w:noProof/>
                    <w:webHidden/>
                  </w:rPr>
                  <w:fldChar w:fldCharType="separate"/>
                </w:r>
                <w:r>
                  <w:rPr>
                    <w:noProof/>
                    <w:webHidden/>
                  </w:rPr>
                  <w:t>2</w:t>
                </w:r>
                <w:r>
                  <w:rPr>
                    <w:noProof/>
                    <w:webHidden/>
                  </w:rPr>
                  <w:fldChar w:fldCharType="end"/>
                </w:r>
              </w:hyperlink>
            </w:p>
            <w:p w14:paraId="13D3D4B0" w14:textId="2577873B" w:rsidR="006A671F" w:rsidRDefault="006A671F">
              <w:pPr>
                <w:pStyle w:val="TOC3"/>
                <w:tabs>
                  <w:tab w:val="left" w:pos="1440"/>
                  <w:tab w:val="right" w:leader="dot" w:pos="9350"/>
                </w:tabs>
                <w:rPr>
                  <w:rFonts w:asciiTheme="minorHAnsi" w:eastAsiaTheme="minorEastAsia" w:hAnsiTheme="minorHAnsi"/>
                  <w:noProof/>
                  <w:lang w:val="en-US"/>
                </w:rPr>
              </w:pPr>
              <w:hyperlink w:anchor="_Toc226533925" w:history="1">
                <w:r w:rsidRPr="005A3586">
                  <w:rPr>
                    <w:rStyle w:val="Hyperlink"/>
                    <w:noProof/>
                  </w:rPr>
                  <w:t>1.1.2.</w:t>
                </w:r>
                <w:r>
                  <w:rPr>
                    <w:rFonts w:asciiTheme="minorHAnsi" w:eastAsiaTheme="minorEastAsia" w:hAnsiTheme="minorHAnsi"/>
                    <w:noProof/>
                    <w:lang w:val="en-US"/>
                  </w:rPr>
                  <w:tab/>
                </w:r>
                <w:r w:rsidRPr="005A3586">
                  <w:rPr>
                    <w:rStyle w:val="Hyperlink"/>
                    <w:noProof/>
                  </w:rPr>
                  <w:t>Space Threat Landscape</w:t>
                </w:r>
                <w:r>
                  <w:rPr>
                    <w:noProof/>
                    <w:webHidden/>
                  </w:rPr>
                  <w:tab/>
                </w:r>
                <w:r>
                  <w:rPr>
                    <w:noProof/>
                    <w:webHidden/>
                  </w:rPr>
                  <w:fldChar w:fldCharType="begin"/>
                </w:r>
                <w:r>
                  <w:rPr>
                    <w:noProof/>
                    <w:webHidden/>
                  </w:rPr>
                  <w:instrText xml:space="preserve"> PAGEREF _Toc226533925 \h </w:instrText>
                </w:r>
                <w:r>
                  <w:rPr>
                    <w:noProof/>
                    <w:webHidden/>
                  </w:rPr>
                </w:r>
                <w:r>
                  <w:rPr>
                    <w:noProof/>
                    <w:webHidden/>
                  </w:rPr>
                  <w:fldChar w:fldCharType="separate"/>
                </w:r>
                <w:r>
                  <w:rPr>
                    <w:noProof/>
                    <w:webHidden/>
                  </w:rPr>
                  <w:t>3</w:t>
                </w:r>
                <w:r>
                  <w:rPr>
                    <w:noProof/>
                    <w:webHidden/>
                  </w:rPr>
                  <w:fldChar w:fldCharType="end"/>
                </w:r>
              </w:hyperlink>
            </w:p>
            <w:p w14:paraId="40931D08" w14:textId="08504E51" w:rsidR="006A671F" w:rsidRDefault="006A671F">
              <w:pPr>
                <w:pStyle w:val="TOC3"/>
                <w:tabs>
                  <w:tab w:val="left" w:pos="1440"/>
                  <w:tab w:val="right" w:leader="dot" w:pos="9350"/>
                </w:tabs>
                <w:rPr>
                  <w:rFonts w:asciiTheme="minorHAnsi" w:eastAsiaTheme="minorEastAsia" w:hAnsiTheme="minorHAnsi"/>
                  <w:noProof/>
                  <w:lang w:val="en-US"/>
                </w:rPr>
              </w:pPr>
              <w:hyperlink w:anchor="_Toc226533926" w:history="1">
                <w:r w:rsidRPr="005A3586">
                  <w:rPr>
                    <w:rStyle w:val="Hyperlink"/>
                    <w:noProof/>
                  </w:rPr>
                  <w:t>1.1.3.</w:t>
                </w:r>
                <w:r>
                  <w:rPr>
                    <w:rFonts w:asciiTheme="minorHAnsi" w:eastAsiaTheme="minorEastAsia" w:hAnsiTheme="minorHAnsi"/>
                    <w:noProof/>
                    <w:lang w:val="en-US"/>
                  </w:rPr>
                  <w:tab/>
                </w:r>
                <w:r w:rsidRPr="005A3586">
                  <w:rPr>
                    <w:rStyle w:val="Hyperlink"/>
                    <w:noProof/>
                  </w:rPr>
                  <w:t>Dual-use nature of space capabilities</w:t>
                </w:r>
                <w:r>
                  <w:rPr>
                    <w:noProof/>
                    <w:webHidden/>
                  </w:rPr>
                  <w:tab/>
                </w:r>
                <w:r>
                  <w:rPr>
                    <w:noProof/>
                    <w:webHidden/>
                  </w:rPr>
                  <w:fldChar w:fldCharType="begin"/>
                </w:r>
                <w:r>
                  <w:rPr>
                    <w:noProof/>
                    <w:webHidden/>
                  </w:rPr>
                  <w:instrText xml:space="preserve"> PAGEREF _Toc226533926 \h </w:instrText>
                </w:r>
                <w:r>
                  <w:rPr>
                    <w:noProof/>
                    <w:webHidden/>
                  </w:rPr>
                </w:r>
                <w:r>
                  <w:rPr>
                    <w:noProof/>
                    <w:webHidden/>
                  </w:rPr>
                  <w:fldChar w:fldCharType="separate"/>
                </w:r>
                <w:r>
                  <w:rPr>
                    <w:noProof/>
                    <w:webHidden/>
                  </w:rPr>
                  <w:t>6</w:t>
                </w:r>
                <w:r>
                  <w:rPr>
                    <w:noProof/>
                    <w:webHidden/>
                  </w:rPr>
                  <w:fldChar w:fldCharType="end"/>
                </w:r>
              </w:hyperlink>
            </w:p>
            <w:p w14:paraId="66CDA57A" w14:textId="28AA486A" w:rsidR="006A671F" w:rsidRDefault="006A671F">
              <w:pPr>
                <w:pStyle w:val="TOC2"/>
                <w:tabs>
                  <w:tab w:val="left" w:pos="960"/>
                  <w:tab w:val="right" w:leader="dot" w:pos="9350"/>
                </w:tabs>
                <w:rPr>
                  <w:rFonts w:asciiTheme="minorHAnsi" w:eastAsiaTheme="minorEastAsia" w:hAnsiTheme="minorHAnsi"/>
                  <w:noProof/>
                  <w:lang w:val="en-US"/>
                </w:rPr>
              </w:pPr>
              <w:hyperlink w:anchor="_Toc226533927" w:history="1">
                <w:r w:rsidRPr="005A3586">
                  <w:rPr>
                    <w:rStyle w:val="Hyperlink"/>
                    <w:noProof/>
                  </w:rPr>
                  <w:t>1.2.</w:t>
                </w:r>
                <w:r>
                  <w:rPr>
                    <w:rFonts w:asciiTheme="minorHAnsi" w:eastAsiaTheme="minorEastAsia" w:hAnsiTheme="minorHAnsi"/>
                    <w:noProof/>
                    <w:lang w:val="en-US"/>
                  </w:rPr>
                  <w:tab/>
                </w:r>
                <w:r w:rsidRPr="005A3586">
                  <w:rPr>
                    <w:rStyle w:val="Hyperlink"/>
                    <w:noProof/>
                  </w:rPr>
                  <w:t>The Core Strategic Imperatives</w:t>
                </w:r>
                <w:r>
                  <w:rPr>
                    <w:noProof/>
                    <w:webHidden/>
                  </w:rPr>
                  <w:tab/>
                </w:r>
                <w:r>
                  <w:rPr>
                    <w:noProof/>
                    <w:webHidden/>
                  </w:rPr>
                  <w:fldChar w:fldCharType="begin"/>
                </w:r>
                <w:r>
                  <w:rPr>
                    <w:noProof/>
                    <w:webHidden/>
                  </w:rPr>
                  <w:instrText xml:space="preserve"> PAGEREF _Toc226533927 \h </w:instrText>
                </w:r>
                <w:r>
                  <w:rPr>
                    <w:noProof/>
                    <w:webHidden/>
                  </w:rPr>
                </w:r>
                <w:r>
                  <w:rPr>
                    <w:noProof/>
                    <w:webHidden/>
                  </w:rPr>
                  <w:fldChar w:fldCharType="separate"/>
                </w:r>
                <w:r>
                  <w:rPr>
                    <w:noProof/>
                    <w:webHidden/>
                  </w:rPr>
                  <w:t>6</w:t>
                </w:r>
                <w:r>
                  <w:rPr>
                    <w:noProof/>
                    <w:webHidden/>
                  </w:rPr>
                  <w:fldChar w:fldCharType="end"/>
                </w:r>
              </w:hyperlink>
            </w:p>
            <w:p w14:paraId="7A5236E6" w14:textId="13F9CB44" w:rsidR="006A671F" w:rsidRDefault="006A671F">
              <w:pPr>
                <w:pStyle w:val="TOC3"/>
                <w:tabs>
                  <w:tab w:val="left" w:pos="1440"/>
                  <w:tab w:val="right" w:leader="dot" w:pos="9350"/>
                </w:tabs>
                <w:rPr>
                  <w:rFonts w:asciiTheme="minorHAnsi" w:eastAsiaTheme="minorEastAsia" w:hAnsiTheme="minorHAnsi"/>
                  <w:noProof/>
                  <w:lang w:val="en-US"/>
                </w:rPr>
              </w:pPr>
              <w:hyperlink w:anchor="_Toc226533928" w:history="1">
                <w:r w:rsidRPr="005A3586">
                  <w:rPr>
                    <w:rStyle w:val="Hyperlink"/>
                    <w:noProof/>
                  </w:rPr>
                  <w:t>1.2.1.</w:t>
                </w:r>
                <w:r>
                  <w:rPr>
                    <w:rFonts w:asciiTheme="minorHAnsi" w:eastAsiaTheme="minorEastAsia" w:hAnsiTheme="minorHAnsi"/>
                    <w:noProof/>
                    <w:lang w:val="en-US"/>
                  </w:rPr>
                  <w:tab/>
                </w:r>
                <w:r w:rsidRPr="005A3586">
                  <w:rPr>
                    <w:rStyle w:val="Hyperlink"/>
                    <w:noProof/>
                  </w:rPr>
                  <w:t>Celestial Lines of Communication (CLOCs)</w:t>
                </w:r>
                <w:r>
                  <w:rPr>
                    <w:noProof/>
                    <w:webHidden/>
                  </w:rPr>
                  <w:tab/>
                </w:r>
                <w:r>
                  <w:rPr>
                    <w:noProof/>
                    <w:webHidden/>
                  </w:rPr>
                  <w:fldChar w:fldCharType="begin"/>
                </w:r>
                <w:r>
                  <w:rPr>
                    <w:noProof/>
                    <w:webHidden/>
                  </w:rPr>
                  <w:instrText xml:space="preserve"> PAGEREF _Toc226533928 \h </w:instrText>
                </w:r>
                <w:r>
                  <w:rPr>
                    <w:noProof/>
                    <w:webHidden/>
                  </w:rPr>
                </w:r>
                <w:r>
                  <w:rPr>
                    <w:noProof/>
                    <w:webHidden/>
                  </w:rPr>
                  <w:fldChar w:fldCharType="separate"/>
                </w:r>
                <w:r>
                  <w:rPr>
                    <w:noProof/>
                    <w:webHidden/>
                  </w:rPr>
                  <w:t>6</w:t>
                </w:r>
                <w:r>
                  <w:rPr>
                    <w:noProof/>
                    <w:webHidden/>
                  </w:rPr>
                  <w:fldChar w:fldCharType="end"/>
                </w:r>
              </w:hyperlink>
            </w:p>
            <w:p w14:paraId="3F10FFE1" w14:textId="6B0D4169" w:rsidR="006A671F" w:rsidRDefault="006A671F">
              <w:pPr>
                <w:pStyle w:val="TOC3"/>
                <w:tabs>
                  <w:tab w:val="left" w:pos="1440"/>
                  <w:tab w:val="right" w:leader="dot" w:pos="9350"/>
                </w:tabs>
                <w:rPr>
                  <w:rFonts w:asciiTheme="minorHAnsi" w:eastAsiaTheme="minorEastAsia" w:hAnsiTheme="minorHAnsi"/>
                  <w:noProof/>
                  <w:lang w:val="en-US"/>
                </w:rPr>
              </w:pPr>
              <w:hyperlink w:anchor="_Toc226533929" w:history="1">
                <w:r w:rsidRPr="005A3586">
                  <w:rPr>
                    <w:rStyle w:val="Hyperlink"/>
                    <w:noProof/>
                  </w:rPr>
                  <w:t>1.2.2.</w:t>
                </w:r>
                <w:r>
                  <w:rPr>
                    <w:rFonts w:asciiTheme="minorHAnsi" w:eastAsiaTheme="minorEastAsia" w:hAnsiTheme="minorHAnsi"/>
                    <w:noProof/>
                    <w:lang w:val="en-US"/>
                  </w:rPr>
                  <w:tab/>
                </w:r>
                <w:r w:rsidRPr="005A3586">
                  <w:rPr>
                    <w:rStyle w:val="Hyperlink"/>
                    <w:noProof/>
                  </w:rPr>
                  <w:t>The Irish Strategic Context</w:t>
                </w:r>
                <w:r>
                  <w:rPr>
                    <w:noProof/>
                    <w:webHidden/>
                  </w:rPr>
                  <w:tab/>
                </w:r>
                <w:r>
                  <w:rPr>
                    <w:noProof/>
                    <w:webHidden/>
                  </w:rPr>
                  <w:fldChar w:fldCharType="begin"/>
                </w:r>
                <w:r>
                  <w:rPr>
                    <w:noProof/>
                    <w:webHidden/>
                  </w:rPr>
                  <w:instrText xml:space="preserve"> PAGEREF _Toc226533929 \h </w:instrText>
                </w:r>
                <w:r>
                  <w:rPr>
                    <w:noProof/>
                    <w:webHidden/>
                  </w:rPr>
                </w:r>
                <w:r>
                  <w:rPr>
                    <w:noProof/>
                    <w:webHidden/>
                  </w:rPr>
                  <w:fldChar w:fldCharType="separate"/>
                </w:r>
                <w:r>
                  <w:rPr>
                    <w:noProof/>
                    <w:webHidden/>
                  </w:rPr>
                  <w:t>7</w:t>
                </w:r>
                <w:r>
                  <w:rPr>
                    <w:noProof/>
                    <w:webHidden/>
                  </w:rPr>
                  <w:fldChar w:fldCharType="end"/>
                </w:r>
              </w:hyperlink>
            </w:p>
            <w:p w14:paraId="0A352AFD" w14:textId="0AC9A042" w:rsidR="006A671F" w:rsidRDefault="006A671F">
              <w:pPr>
                <w:pStyle w:val="TOC1"/>
                <w:tabs>
                  <w:tab w:val="left" w:pos="480"/>
                  <w:tab w:val="right" w:leader="dot" w:pos="9350"/>
                </w:tabs>
                <w:rPr>
                  <w:rFonts w:asciiTheme="minorHAnsi" w:eastAsiaTheme="minorEastAsia" w:hAnsiTheme="minorHAnsi"/>
                  <w:noProof/>
                  <w:lang w:val="en-US"/>
                </w:rPr>
              </w:pPr>
              <w:hyperlink w:anchor="_Toc226533930" w:history="1">
                <w:r w:rsidRPr="005A3586">
                  <w:rPr>
                    <w:rStyle w:val="Hyperlink"/>
                    <w:noProof/>
                  </w:rPr>
                  <w:t>2.</w:t>
                </w:r>
                <w:r>
                  <w:rPr>
                    <w:rFonts w:asciiTheme="minorHAnsi" w:eastAsiaTheme="minorEastAsia" w:hAnsiTheme="minorHAnsi"/>
                    <w:noProof/>
                    <w:lang w:val="en-US"/>
                  </w:rPr>
                  <w:tab/>
                </w:r>
                <w:r w:rsidRPr="005A3586">
                  <w:rPr>
                    <w:rStyle w:val="Hyperlink"/>
                    <w:noProof/>
                  </w:rPr>
                  <w:t>THE THEORETICAL BASIS &amp; STRATEGIC IMPERATIVES</w:t>
                </w:r>
                <w:r>
                  <w:rPr>
                    <w:noProof/>
                    <w:webHidden/>
                  </w:rPr>
                  <w:tab/>
                </w:r>
                <w:r>
                  <w:rPr>
                    <w:noProof/>
                    <w:webHidden/>
                  </w:rPr>
                  <w:fldChar w:fldCharType="begin"/>
                </w:r>
                <w:r>
                  <w:rPr>
                    <w:noProof/>
                    <w:webHidden/>
                  </w:rPr>
                  <w:instrText xml:space="preserve"> PAGEREF _Toc226533930 \h </w:instrText>
                </w:r>
                <w:r>
                  <w:rPr>
                    <w:noProof/>
                    <w:webHidden/>
                  </w:rPr>
                </w:r>
                <w:r>
                  <w:rPr>
                    <w:noProof/>
                    <w:webHidden/>
                  </w:rPr>
                  <w:fldChar w:fldCharType="separate"/>
                </w:r>
                <w:r>
                  <w:rPr>
                    <w:noProof/>
                    <w:webHidden/>
                  </w:rPr>
                  <w:t>10</w:t>
                </w:r>
                <w:r>
                  <w:rPr>
                    <w:noProof/>
                    <w:webHidden/>
                  </w:rPr>
                  <w:fldChar w:fldCharType="end"/>
                </w:r>
              </w:hyperlink>
            </w:p>
            <w:p w14:paraId="34BEF3FE" w14:textId="026A94F4" w:rsidR="006A671F" w:rsidRDefault="006A671F">
              <w:pPr>
                <w:pStyle w:val="TOC2"/>
                <w:tabs>
                  <w:tab w:val="left" w:pos="960"/>
                  <w:tab w:val="right" w:leader="dot" w:pos="9350"/>
                </w:tabs>
                <w:rPr>
                  <w:rFonts w:asciiTheme="minorHAnsi" w:eastAsiaTheme="minorEastAsia" w:hAnsiTheme="minorHAnsi"/>
                  <w:noProof/>
                  <w:lang w:val="en-US"/>
                </w:rPr>
              </w:pPr>
              <w:hyperlink w:anchor="_Toc226533931" w:history="1">
                <w:r w:rsidRPr="005A3586">
                  <w:rPr>
                    <w:rStyle w:val="Hyperlink"/>
                    <w:noProof/>
                  </w:rPr>
                  <w:t>2.1.</w:t>
                </w:r>
                <w:r>
                  <w:rPr>
                    <w:rFonts w:asciiTheme="minorHAnsi" w:eastAsiaTheme="minorEastAsia" w:hAnsiTheme="minorHAnsi"/>
                    <w:noProof/>
                    <w:lang w:val="en-US"/>
                  </w:rPr>
                  <w:tab/>
                </w:r>
                <w:r w:rsidRPr="005A3586">
                  <w:rPr>
                    <w:rStyle w:val="Hyperlink"/>
                    <w:noProof/>
                  </w:rPr>
                  <w:t>Foundational Principles for Small States</w:t>
                </w:r>
                <w:r>
                  <w:rPr>
                    <w:noProof/>
                    <w:webHidden/>
                  </w:rPr>
                  <w:tab/>
                </w:r>
                <w:r>
                  <w:rPr>
                    <w:noProof/>
                    <w:webHidden/>
                  </w:rPr>
                  <w:fldChar w:fldCharType="begin"/>
                </w:r>
                <w:r>
                  <w:rPr>
                    <w:noProof/>
                    <w:webHidden/>
                  </w:rPr>
                  <w:instrText xml:space="preserve"> PAGEREF _Toc226533931 \h </w:instrText>
                </w:r>
                <w:r>
                  <w:rPr>
                    <w:noProof/>
                    <w:webHidden/>
                  </w:rPr>
                </w:r>
                <w:r>
                  <w:rPr>
                    <w:noProof/>
                    <w:webHidden/>
                  </w:rPr>
                  <w:fldChar w:fldCharType="separate"/>
                </w:r>
                <w:r>
                  <w:rPr>
                    <w:noProof/>
                    <w:webHidden/>
                  </w:rPr>
                  <w:t>11</w:t>
                </w:r>
                <w:r>
                  <w:rPr>
                    <w:noProof/>
                    <w:webHidden/>
                  </w:rPr>
                  <w:fldChar w:fldCharType="end"/>
                </w:r>
              </w:hyperlink>
            </w:p>
            <w:p w14:paraId="1CA32713" w14:textId="4A2CD92A" w:rsidR="006A671F" w:rsidRDefault="006A671F">
              <w:pPr>
                <w:pStyle w:val="TOC2"/>
                <w:tabs>
                  <w:tab w:val="left" w:pos="960"/>
                  <w:tab w:val="right" w:leader="dot" w:pos="9350"/>
                </w:tabs>
                <w:rPr>
                  <w:rFonts w:asciiTheme="minorHAnsi" w:eastAsiaTheme="minorEastAsia" w:hAnsiTheme="minorHAnsi"/>
                  <w:noProof/>
                  <w:lang w:val="en-US"/>
                </w:rPr>
              </w:pPr>
              <w:hyperlink w:anchor="_Toc226533932" w:history="1">
                <w:r w:rsidRPr="005A3586">
                  <w:rPr>
                    <w:rStyle w:val="Hyperlink"/>
                    <w:noProof/>
                  </w:rPr>
                  <w:t>2.2.</w:t>
                </w:r>
                <w:r>
                  <w:rPr>
                    <w:rFonts w:asciiTheme="minorHAnsi" w:eastAsiaTheme="minorEastAsia" w:hAnsiTheme="minorHAnsi"/>
                    <w:noProof/>
                    <w:lang w:val="en-US"/>
                  </w:rPr>
                  <w:tab/>
                </w:r>
                <w:r w:rsidRPr="005A3586">
                  <w:rPr>
                    <w:rStyle w:val="Hyperlink"/>
                    <w:noProof/>
                  </w:rPr>
                  <w:t>Strategic Imperatives</w:t>
                </w:r>
                <w:r>
                  <w:rPr>
                    <w:noProof/>
                    <w:webHidden/>
                  </w:rPr>
                  <w:tab/>
                </w:r>
                <w:r>
                  <w:rPr>
                    <w:noProof/>
                    <w:webHidden/>
                  </w:rPr>
                  <w:fldChar w:fldCharType="begin"/>
                </w:r>
                <w:r>
                  <w:rPr>
                    <w:noProof/>
                    <w:webHidden/>
                  </w:rPr>
                  <w:instrText xml:space="preserve"> PAGEREF _Toc226533932 \h </w:instrText>
                </w:r>
                <w:r>
                  <w:rPr>
                    <w:noProof/>
                    <w:webHidden/>
                  </w:rPr>
                </w:r>
                <w:r>
                  <w:rPr>
                    <w:noProof/>
                    <w:webHidden/>
                  </w:rPr>
                  <w:fldChar w:fldCharType="separate"/>
                </w:r>
                <w:r>
                  <w:rPr>
                    <w:noProof/>
                    <w:webHidden/>
                  </w:rPr>
                  <w:t>13</w:t>
                </w:r>
                <w:r>
                  <w:rPr>
                    <w:noProof/>
                    <w:webHidden/>
                  </w:rPr>
                  <w:fldChar w:fldCharType="end"/>
                </w:r>
              </w:hyperlink>
            </w:p>
            <w:p w14:paraId="3A1EC88A" w14:textId="06F75964" w:rsidR="006A671F" w:rsidRDefault="006A671F">
              <w:pPr>
                <w:pStyle w:val="TOC3"/>
                <w:tabs>
                  <w:tab w:val="left" w:pos="1440"/>
                  <w:tab w:val="right" w:leader="dot" w:pos="9350"/>
                </w:tabs>
                <w:rPr>
                  <w:rFonts w:asciiTheme="minorHAnsi" w:eastAsiaTheme="minorEastAsia" w:hAnsiTheme="minorHAnsi"/>
                  <w:noProof/>
                  <w:lang w:val="en-US"/>
                </w:rPr>
              </w:pPr>
              <w:hyperlink w:anchor="_Toc226533933" w:history="1">
                <w:r w:rsidRPr="005A3586">
                  <w:rPr>
                    <w:rStyle w:val="Hyperlink"/>
                    <w:noProof/>
                  </w:rPr>
                  <w:t>2.2.1.</w:t>
                </w:r>
                <w:r>
                  <w:rPr>
                    <w:rFonts w:asciiTheme="minorHAnsi" w:eastAsiaTheme="minorEastAsia" w:hAnsiTheme="minorHAnsi"/>
                    <w:noProof/>
                    <w:lang w:val="en-US"/>
                  </w:rPr>
                  <w:tab/>
                </w:r>
                <w:r w:rsidRPr="005A3586">
                  <w:rPr>
                    <w:rStyle w:val="Hyperlink"/>
                    <w:noProof/>
                  </w:rPr>
                  <w:t>Institutionalising Space Governance</w:t>
                </w:r>
                <w:r>
                  <w:rPr>
                    <w:noProof/>
                    <w:webHidden/>
                  </w:rPr>
                  <w:tab/>
                </w:r>
                <w:r>
                  <w:rPr>
                    <w:noProof/>
                    <w:webHidden/>
                  </w:rPr>
                  <w:fldChar w:fldCharType="begin"/>
                </w:r>
                <w:r>
                  <w:rPr>
                    <w:noProof/>
                    <w:webHidden/>
                  </w:rPr>
                  <w:instrText xml:space="preserve"> PAGEREF _Toc226533933 \h </w:instrText>
                </w:r>
                <w:r>
                  <w:rPr>
                    <w:noProof/>
                    <w:webHidden/>
                  </w:rPr>
                </w:r>
                <w:r>
                  <w:rPr>
                    <w:noProof/>
                    <w:webHidden/>
                  </w:rPr>
                  <w:fldChar w:fldCharType="separate"/>
                </w:r>
                <w:r>
                  <w:rPr>
                    <w:noProof/>
                    <w:webHidden/>
                  </w:rPr>
                  <w:t>14</w:t>
                </w:r>
                <w:r>
                  <w:rPr>
                    <w:noProof/>
                    <w:webHidden/>
                  </w:rPr>
                  <w:fldChar w:fldCharType="end"/>
                </w:r>
              </w:hyperlink>
            </w:p>
            <w:p w14:paraId="4A00184B" w14:textId="0AE4D29C" w:rsidR="006A671F" w:rsidRDefault="006A671F">
              <w:pPr>
                <w:pStyle w:val="TOC3"/>
                <w:tabs>
                  <w:tab w:val="left" w:pos="1440"/>
                  <w:tab w:val="right" w:leader="dot" w:pos="9350"/>
                </w:tabs>
                <w:rPr>
                  <w:rFonts w:asciiTheme="minorHAnsi" w:eastAsiaTheme="minorEastAsia" w:hAnsiTheme="minorHAnsi"/>
                  <w:noProof/>
                  <w:lang w:val="en-US"/>
                </w:rPr>
              </w:pPr>
              <w:hyperlink w:anchor="_Toc226533934" w:history="1">
                <w:r w:rsidRPr="005A3586">
                  <w:rPr>
                    <w:rStyle w:val="Hyperlink"/>
                    <w:noProof/>
                  </w:rPr>
                  <w:t>2.2.2.</w:t>
                </w:r>
                <w:r>
                  <w:rPr>
                    <w:rFonts w:asciiTheme="minorHAnsi" w:eastAsiaTheme="minorEastAsia" w:hAnsiTheme="minorHAnsi"/>
                    <w:noProof/>
                    <w:lang w:val="en-US"/>
                  </w:rPr>
                  <w:tab/>
                </w:r>
                <w:r w:rsidRPr="005A3586">
                  <w:rPr>
                    <w:rStyle w:val="Hyperlink"/>
                    <w:noProof/>
                  </w:rPr>
                  <w:t>Co-operation and Alliances</w:t>
                </w:r>
                <w:r>
                  <w:rPr>
                    <w:noProof/>
                    <w:webHidden/>
                  </w:rPr>
                  <w:tab/>
                </w:r>
                <w:r>
                  <w:rPr>
                    <w:noProof/>
                    <w:webHidden/>
                  </w:rPr>
                  <w:fldChar w:fldCharType="begin"/>
                </w:r>
                <w:r>
                  <w:rPr>
                    <w:noProof/>
                    <w:webHidden/>
                  </w:rPr>
                  <w:instrText xml:space="preserve"> PAGEREF _Toc226533934 \h </w:instrText>
                </w:r>
                <w:r>
                  <w:rPr>
                    <w:noProof/>
                    <w:webHidden/>
                  </w:rPr>
                </w:r>
                <w:r>
                  <w:rPr>
                    <w:noProof/>
                    <w:webHidden/>
                  </w:rPr>
                  <w:fldChar w:fldCharType="separate"/>
                </w:r>
                <w:r>
                  <w:rPr>
                    <w:noProof/>
                    <w:webHidden/>
                  </w:rPr>
                  <w:t>15</w:t>
                </w:r>
                <w:r>
                  <w:rPr>
                    <w:noProof/>
                    <w:webHidden/>
                  </w:rPr>
                  <w:fldChar w:fldCharType="end"/>
                </w:r>
              </w:hyperlink>
            </w:p>
            <w:p w14:paraId="00B0DE00" w14:textId="7B1B1D85" w:rsidR="006A671F" w:rsidRDefault="006A671F">
              <w:pPr>
                <w:pStyle w:val="TOC3"/>
                <w:tabs>
                  <w:tab w:val="left" w:pos="1440"/>
                  <w:tab w:val="right" w:leader="dot" w:pos="9350"/>
                </w:tabs>
                <w:rPr>
                  <w:rFonts w:asciiTheme="minorHAnsi" w:eastAsiaTheme="minorEastAsia" w:hAnsiTheme="minorHAnsi"/>
                  <w:noProof/>
                  <w:lang w:val="en-US"/>
                </w:rPr>
              </w:pPr>
              <w:hyperlink w:anchor="_Toc226533935" w:history="1">
                <w:r w:rsidRPr="005A3586">
                  <w:rPr>
                    <w:rStyle w:val="Hyperlink"/>
                    <w:noProof/>
                  </w:rPr>
                  <w:t>2.2.3.</w:t>
                </w:r>
                <w:r>
                  <w:rPr>
                    <w:rFonts w:asciiTheme="minorHAnsi" w:eastAsiaTheme="minorEastAsia" w:hAnsiTheme="minorHAnsi"/>
                    <w:noProof/>
                    <w:lang w:val="en-US"/>
                  </w:rPr>
                  <w:tab/>
                </w:r>
                <w:r w:rsidRPr="005A3586">
                  <w:rPr>
                    <w:rStyle w:val="Hyperlink"/>
                    <w:noProof/>
                  </w:rPr>
                  <w:t>Outsourcing and Commercial Integration</w:t>
                </w:r>
                <w:r>
                  <w:rPr>
                    <w:noProof/>
                    <w:webHidden/>
                  </w:rPr>
                  <w:tab/>
                </w:r>
                <w:r>
                  <w:rPr>
                    <w:noProof/>
                    <w:webHidden/>
                  </w:rPr>
                  <w:fldChar w:fldCharType="begin"/>
                </w:r>
                <w:r>
                  <w:rPr>
                    <w:noProof/>
                    <w:webHidden/>
                  </w:rPr>
                  <w:instrText xml:space="preserve"> PAGEREF _Toc226533935 \h </w:instrText>
                </w:r>
                <w:r>
                  <w:rPr>
                    <w:noProof/>
                    <w:webHidden/>
                  </w:rPr>
                </w:r>
                <w:r>
                  <w:rPr>
                    <w:noProof/>
                    <w:webHidden/>
                  </w:rPr>
                  <w:fldChar w:fldCharType="separate"/>
                </w:r>
                <w:r>
                  <w:rPr>
                    <w:noProof/>
                    <w:webHidden/>
                  </w:rPr>
                  <w:t>16</w:t>
                </w:r>
                <w:r>
                  <w:rPr>
                    <w:noProof/>
                    <w:webHidden/>
                  </w:rPr>
                  <w:fldChar w:fldCharType="end"/>
                </w:r>
              </w:hyperlink>
            </w:p>
            <w:p w14:paraId="1C4156EE" w14:textId="270A3311" w:rsidR="006A671F" w:rsidRDefault="006A671F">
              <w:pPr>
                <w:pStyle w:val="TOC3"/>
                <w:tabs>
                  <w:tab w:val="left" w:pos="1440"/>
                  <w:tab w:val="right" w:leader="dot" w:pos="9350"/>
                </w:tabs>
                <w:rPr>
                  <w:rFonts w:asciiTheme="minorHAnsi" w:eastAsiaTheme="minorEastAsia" w:hAnsiTheme="minorHAnsi"/>
                  <w:noProof/>
                  <w:lang w:val="en-US"/>
                </w:rPr>
              </w:pPr>
              <w:hyperlink w:anchor="_Toc226533936" w:history="1">
                <w:r w:rsidRPr="005A3586">
                  <w:rPr>
                    <w:rStyle w:val="Hyperlink"/>
                    <w:noProof/>
                  </w:rPr>
                  <w:t>2.2.4.</w:t>
                </w:r>
                <w:r>
                  <w:rPr>
                    <w:rFonts w:asciiTheme="minorHAnsi" w:eastAsiaTheme="minorEastAsia" w:hAnsiTheme="minorHAnsi"/>
                    <w:noProof/>
                    <w:lang w:val="en-US"/>
                  </w:rPr>
                  <w:tab/>
                </w:r>
                <w:r w:rsidRPr="005A3586">
                  <w:rPr>
                    <w:rStyle w:val="Hyperlink"/>
                    <w:noProof/>
                  </w:rPr>
                  <w:t>Niche Capabilities and Autonomy</w:t>
                </w:r>
                <w:r>
                  <w:rPr>
                    <w:noProof/>
                    <w:webHidden/>
                  </w:rPr>
                  <w:tab/>
                </w:r>
                <w:r>
                  <w:rPr>
                    <w:noProof/>
                    <w:webHidden/>
                  </w:rPr>
                  <w:fldChar w:fldCharType="begin"/>
                </w:r>
                <w:r>
                  <w:rPr>
                    <w:noProof/>
                    <w:webHidden/>
                  </w:rPr>
                  <w:instrText xml:space="preserve"> PAGEREF _Toc226533936 \h </w:instrText>
                </w:r>
                <w:r>
                  <w:rPr>
                    <w:noProof/>
                    <w:webHidden/>
                  </w:rPr>
                </w:r>
                <w:r>
                  <w:rPr>
                    <w:noProof/>
                    <w:webHidden/>
                  </w:rPr>
                  <w:fldChar w:fldCharType="separate"/>
                </w:r>
                <w:r>
                  <w:rPr>
                    <w:noProof/>
                    <w:webHidden/>
                  </w:rPr>
                  <w:t>19</w:t>
                </w:r>
                <w:r>
                  <w:rPr>
                    <w:noProof/>
                    <w:webHidden/>
                  </w:rPr>
                  <w:fldChar w:fldCharType="end"/>
                </w:r>
              </w:hyperlink>
            </w:p>
            <w:p w14:paraId="11B0B365" w14:textId="6FFD5777" w:rsidR="006A671F" w:rsidRDefault="006A671F">
              <w:pPr>
                <w:pStyle w:val="TOC3"/>
                <w:tabs>
                  <w:tab w:val="left" w:pos="1440"/>
                  <w:tab w:val="right" w:leader="dot" w:pos="9350"/>
                </w:tabs>
                <w:rPr>
                  <w:rFonts w:asciiTheme="minorHAnsi" w:eastAsiaTheme="minorEastAsia" w:hAnsiTheme="minorHAnsi"/>
                  <w:noProof/>
                  <w:lang w:val="en-US"/>
                </w:rPr>
              </w:pPr>
              <w:hyperlink w:anchor="_Toc226533937" w:history="1">
                <w:r w:rsidRPr="005A3586">
                  <w:rPr>
                    <w:rStyle w:val="Hyperlink"/>
                    <w:noProof/>
                  </w:rPr>
                  <w:t>2.2.5.</w:t>
                </w:r>
                <w:r>
                  <w:rPr>
                    <w:rFonts w:asciiTheme="minorHAnsi" w:eastAsiaTheme="minorEastAsia" w:hAnsiTheme="minorHAnsi"/>
                    <w:noProof/>
                    <w:lang w:val="en-US"/>
                  </w:rPr>
                  <w:tab/>
                </w:r>
                <w:r w:rsidRPr="005A3586">
                  <w:rPr>
                    <w:rStyle w:val="Hyperlink"/>
                    <w:noProof/>
                  </w:rPr>
                  <w:t>All Force Resiliency</w:t>
                </w:r>
                <w:r>
                  <w:rPr>
                    <w:noProof/>
                    <w:webHidden/>
                  </w:rPr>
                  <w:tab/>
                </w:r>
                <w:r>
                  <w:rPr>
                    <w:noProof/>
                    <w:webHidden/>
                  </w:rPr>
                  <w:fldChar w:fldCharType="begin"/>
                </w:r>
                <w:r>
                  <w:rPr>
                    <w:noProof/>
                    <w:webHidden/>
                  </w:rPr>
                  <w:instrText xml:space="preserve"> PAGEREF _Toc226533937 \h </w:instrText>
                </w:r>
                <w:r>
                  <w:rPr>
                    <w:noProof/>
                    <w:webHidden/>
                  </w:rPr>
                </w:r>
                <w:r>
                  <w:rPr>
                    <w:noProof/>
                    <w:webHidden/>
                  </w:rPr>
                  <w:fldChar w:fldCharType="separate"/>
                </w:r>
                <w:r>
                  <w:rPr>
                    <w:noProof/>
                    <w:webHidden/>
                  </w:rPr>
                  <w:t>21</w:t>
                </w:r>
                <w:r>
                  <w:rPr>
                    <w:noProof/>
                    <w:webHidden/>
                  </w:rPr>
                  <w:fldChar w:fldCharType="end"/>
                </w:r>
              </w:hyperlink>
            </w:p>
            <w:p w14:paraId="42DEDAE2" w14:textId="66F99C2E" w:rsidR="006A671F" w:rsidRDefault="006A671F">
              <w:pPr>
                <w:pStyle w:val="TOC1"/>
                <w:tabs>
                  <w:tab w:val="left" w:pos="480"/>
                  <w:tab w:val="right" w:leader="dot" w:pos="9350"/>
                </w:tabs>
                <w:rPr>
                  <w:rFonts w:asciiTheme="minorHAnsi" w:eastAsiaTheme="minorEastAsia" w:hAnsiTheme="minorHAnsi"/>
                  <w:noProof/>
                  <w:lang w:val="en-US"/>
                </w:rPr>
              </w:pPr>
              <w:hyperlink w:anchor="_Toc226533938" w:history="1">
                <w:r w:rsidRPr="005A3586">
                  <w:rPr>
                    <w:rStyle w:val="Hyperlink"/>
                    <w:rFonts w:eastAsia="Times New Roman"/>
                    <w:noProof/>
                  </w:rPr>
                  <w:t>3.</w:t>
                </w:r>
                <w:r>
                  <w:rPr>
                    <w:rFonts w:asciiTheme="minorHAnsi" w:eastAsiaTheme="minorEastAsia" w:hAnsiTheme="minorHAnsi"/>
                    <w:noProof/>
                    <w:lang w:val="en-US"/>
                  </w:rPr>
                  <w:tab/>
                </w:r>
                <w:r w:rsidRPr="005A3586">
                  <w:rPr>
                    <w:rStyle w:val="Hyperlink"/>
                    <w:rFonts w:eastAsia="Times New Roman"/>
                    <w:noProof/>
                  </w:rPr>
                  <w:t>IRELAND IN A CONTESTED ASTROPOLITICAL ENVIRONMENT</w:t>
                </w:r>
                <w:r>
                  <w:rPr>
                    <w:noProof/>
                    <w:webHidden/>
                  </w:rPr>
                  <w:tab/>
                </w:r>
                <w:r>
                  <w:rPr>
                    <w:noProof/>
                    <w:webHidden/>
                  </w:rPr>
                  <w:fldChar w:fldCharType="begin"/>
                </w:r>
                <w:r>
                  <w:rPr>
                    <w:noProof/>
                    <w:webHidden/>
                  </w:rPr>
                  <w:instrText xml:space="preserve"> PAGEREF _Toc226533938 \h </w:instrText>
                </w:r>
                <w:r>
                  <w:rPr>
                    <w:noProof/>
                    <w:webHidden/>
                  </w:rPr>
                </w:r>
                <w:r>
                  <w:rPr>
                    <w:noProof/>
                    <w:webHidden/>
                  </w:rPr>
                  <w:fldChar w:fldCharType="separate"/>
                </w:r>
                <w:r>
                  <w:rPr>
                    <w:noProof/>
                    <w:webHidden/>
                  </w:rPr>
                  <w:t>22</w:t>
                </w:r>
                <w:r>
                  <w:rPr>
                    <w:noProof/>
                    <w:webHidden/>
                  </w:rPr>
                  <w:fldChar w:fldCharType="end"/>
                </w:r>
              </w:hyperlink>
            </w:p>
            <w:p w14:paraId="7A7FE03C" w14:textId="66198FD9" w:rsidR="006A671F" w:rsidRDefault="006A671F">
              <w:pPr>
                <w:pStyle w:val="TOC2"/>
                <w:tabs>
                  <w:tab w:val="left" w:pos="960"/>
                  <w:tab w:val="right" w:leader="dot" w:pos="9350"/>
                </w:tabs>
                <w:rPr>
                  <w:rFonts w:asciiTheme="minorHAnsi" w:eastAsiaTheme="minorEastAsia" w:hAnsiTheme="minorHAnsi"/>
                  <w:noProof/>
                  <w:lang w:val="en-US"/>
                </w:rPr>
              </w:pPr>
              <w:hyperlink w:anchor="_Toc226533939" w:history="1">
                <w:r w:rsidRPr="005A3586">
                  <w:rPr>
                    <w:rStyle w:val="Hyperlink"/>
                    <w:rFonts w:eastAsia="Times New Roman"/>
                    <w:noProof/>
                  </w:rPr>
                  <w:t>3.1.</w:t>
                </w:r>
                <w:r>
                  <w:rPr>
                    <w:rFonts w:asciiTheme="minorHAnsi" w:eastAsiaTheme="minorEastAsia" w:hAnsiTheme="minorHAnsi"/>
                    <w:noProof/>
                    <w:lang w:val="en-US"/>
                  </w:rPr>
                  <w:tab/>
                </w:r>
                <w:r w:rsidRPr="005A3586">
                  <w:rPr>
                    <w:rStyle w:val="Hyperlink"/>
                    <w:rFonts w:eastAsia="Times New Roman"/>
                    <w:noProof/>
                  </w:rPr>
                  <w:t>From Peripheral Neutrality to Strategic Exposure</w:t>
                </w:r>
                <w:r>
                  <w:rPr>
                    <w:noProof/>
                    <w:webHidden/>
                  </w:rPr>
                  <w:tab/>
                </w:r>
                <w:r>
                  <w:rPr>
                    <w:noProof/>
                    <w:webHidden/>
                  </w:rPr>
                  <w:fldChar w:fldCharType="begin"/>
                </w:r>
                <w:r>
                  <w:rPr>
                    <w:noProof/>
                    <w:webHidden/>
                  </w:rPr>
                  <w:instrText xml:space="preserve"> PAGEREF _Toc226533939 \h </w:instrText>
                </w:r>
                <w:r>
                  <w:rPr>
                    <w:noProof/>
                    <w:webHidden/>
                  </w:rPr>
                </w:r>
                <w:r>
                  <w:rPr>
                    <w:noProof/>
                    <w:webHidden/>
                  </w:rPr>
                  <w:fldChar w:fldCharType="separate"/>
                </w:r>
                <w:r>
                  <w:rPr>
                    <w:noProof/>
                    <w:webHidden/>
                  </w:rPr>
                  <w:t>22</w:t>
                </w:r>
                <w:r>
                  <w:rPr>
                    <w:noProof/>
                    <w:webHidden/>
                  </w:rPr>
                  <w:fldChar w:fldCharType="end"/>
                </w:r>
              </w:hyperlink>
            </w:p>
            <w:p w14:paraId="16CA54F0" w14:textId="74D1B042" w:rsidR="006A671F" w:rsidRDefault="006A671F">
              <w:pPr>
                <w:pStyle w:val="TOC2"/>
                <w:tabs>
                  <w:tab w:val="left" w:pos="960"/>
                  <w:tab w:val="right" w:leader="dot" w:pos="9350"/>
                </w:tabs>
                <w:rPr>
                  <w:rFonts w:asciiTheme="minorHAnsi" w:eastAsiaTheme="minorEastAsia" w:hAnsiTheme="minorHAnsi"/>
                  <w:noProof/>
                  <w:lang w:val="en-US"/>
                </w:rPr>
              </w:pPr>
              <w:hyperlink w:anchor="_Toc226533940" w:history="1">
                <w:r w:rsidRPr="005A3586">
                  <w:rPr>
                    <w:rStyle w:val="Hyperlink"/>
                    <w:rFonts w:eastAsia="Times New Roman"/>
                    <w:noProof/>
                  </w:rPr>
                  <w:t>3.2.</w:t>
                </w:r>
                <w:r>
                  <w:rPr>
                    <w:rFonts w:asciiTheme="minorHAnsi" w:eastAsiaTheme="minorEastAsia" w:hAnsiTheme="minorHAnsi"/>
                    <w:noProof/>
                    <w:lang w:val="en-US"/>
                  </w:rPr>
                  <w:tab/>
                </w:r>
                <w:r w:rsidRPr="005A3586">
                  <w:rPr>
                    <w:rStyle w:val="Hyperlink"/>
                    <w:rFonts w:eastAsia="Times New Roman"/>
                    <w:noProof/>
                  </w:rPr>
                  <w:t>The Maritime-Space Nexus</w:t>
                </w:r>
                <w:r>
                  <w:rPr>
                    <w:noProof/>
                    <w:webHidden/>
                  </w:rPr>
                  <w:tab/>
                </w:r>
                <w:r>
                  <w:rPr>
                    <w:noProof/>
                    <w:webHidden/>
                  </w:rPr>
                  <w:fldChar w:fldCharType="begin"/>
                </w:r>
                <w:r>
                  <w:rPr>
                    <w:noProof/>
                    <w:webHidden/>
                  </w:rPr>
                  <w:instrText xml:space="preserve"> PAGEREF _Toc226533940 \h </w:instrText>
                </w:r>
                <w:r>
                  <w:rPr>
                    <w:noProof/>
                    <w:webHidden/>
                  </w:rPr>
                </w:r>
                <w:r>
                  <w:rPr>
                    <w:noProof/>
                    <w:webHidden/>
                  </w:rPr>
                  <w:fldChar w:fldCharType="separate"/>
                </w:r>
                <w:r>
                  <w:rPr>
                    <w:noProof/>
                    <w:webHidden/>
                  </w:rPr>
                  <w:t>23</w:t>
                </w:r>
                <w:r>
                  <w:rPr>
                    <w:noProof/>
                    <w:webHidden/>
                  </w:rPr>
                  <w:fldChar w:fldCharType="end"/>
                </w:r>
              </w:hyperlink>
            </w:p>
            <w:p w14:paraId="6B292778" w14:textId="302036D6" w:rsidR="006A671F" w:rsidRDefault="006A671F">
              <w:pPr>
                <w:pStyle w:val="TOC2"/>
                <w:tabs>
                  <w:tab w:val="left" w:pos="960"/>
                  <w:tab w:val="right" w:leader="dot" w:pos="9350"/>
                </w:tabs>
                <w:rPr>
                  <w:rFonts w:asciiTheme="minorHAnsi" w:eastAsiaTheme="minorEastAsia" w:hAnsiTheme="minorHAnsi"/>
                  <w:noProof/>
                  <w:lang w:val="en-US"/>
                </w:rPr>
              </w:pPr>
              <w:hyperlink w:anchor="_Toc226533941" w:history="1">
                <w:r w:rsidRPr="005A3586">
                  <w:rPr>
                    <w:rStyle w:val="Hyperlink"/>
                    <w:rFonts w:eastAsia="Times New Roman"/>
                    <w:noProof/>
                  </w:rPr>
                  <w:t>3.3.</w:t>
                </w:r>
                <w:r>
                  <w:rPr>
                    <w:rFonts w:asciiTheme="minorHAnsi" w:eastAsiaTheme="minorEastAsia" w:hAnsiTheme="minorHAnsi"/>
                    <w:noProof/>
                    <w:lang w:val="en-US"/>
                  </w:rPr>
                  <w:tab/>
                </w:r>
                <w:r w:rsidRPr="005A3586">
                  <w:rPr>
                    <w:rStyle w:val="Hyperlink"/>
                    <w:rFonts w:eastAsia="Times New Roman"/>
                    <w:noProof/>
                  </w:rPr>
                  <w:t>Structural Constraints: Air and Space Capacity</w:t>
                </w:r>
                <w:r>
                  <w:rPr>
                    <w:noProof/>
                    <w:webHidden/>
                  </w:rPr>
                  <w:tab/>
                </w:r>
                <w:r>
                  <w:rPr>
                    <w:noProof/>
                    <w:webHidden/>
                  </w:rPr>
                  <w:fldChar w:fldCharType="begin"/>
                </w:r>
                <w:r>
                  <w:rPr>
                    <w:noProof/>
                    <w:webHidden/>
                  </w:rPr>
                  <w:instrText xml:space="preserve"> PAGEREF _Toc226533941 \h </w:instrText>
                </w:r>
                <w:r>
                  <w:rPr>
                    <w:noProof/>
                    <w:webHidden/>
                  </w:rPr>
                </w:r>
                <w:r>
                  <w:rPr>
                    <w:noProof/>
                    <w:webHidden/>
                  </w:rPr>
                  <w:fldChar w:fldCharType="separate"/>
                </w:r>
                <w:r>
                  <w:rPr>
                    <w:noProof/>
                    <w:webHidden/>
                  </w:rPr>
                  <w:t>25</w:t>
                </w:r>
                <w:r>
                  <w:rPr>
                    <w:noProof/>
                    <w:webHidden/>
                  </w:rPr>
                  <w:fldChar w:fldCharType="end"/>
                </w:r>
              </w:hyperlink>
            </w:p>
            <w:p w14:paraId="24DC0DD9" w14:textId="016D8012" w:rsidR="006A671F" w:rsidRDefault="006A671F">
              <w:pPr>
                <w:pStyle w:val="TOC2"/>
                <w:tabs>
                  <w:tab w:val="left" w:pos="960"/>
                  <w:tab w:val="right" w:leader="dot" w:pos="9350"/>
                </w:tabs>
                <w:rPr>
                  <w:rFonts w:asciiTheme="minorHAnsi" w:eastAsiaTheme="minorEastAsia" w:hAnsiTheme="minorHAnsi"/>
                  <w:noProof/>
                  <w:lang w:val="en-US"/>
                </w:rPr>
              </w:pPr>
              <w:hyperlink w:anchor="_Toc226533942" w:history="1">
                <w:r w:rsidRPr="005A3586">
                  <w:rPr>
                    <w:rStyle w:val="Hyperlink"/>
                    <w:caps/>
                    <w:noProof/>
                  </w:rPr>
                  <w:t>3.4.</w:t>
                </w:r>
                <w:r>
                  <w:rPr>
                    <w:rFonts w:asciiTheme="minorHAnsi" w:eastAsiaTheme="minorEastAsia" w:hAnsiTheme="minorHAnsi"/>
                    <w:noProof/>
                    <w:lang w:val="en-US"/>
                  </w:rPr>
                  <w:tab/>
                </w:r>
                <w:r w:rsidRPr="005A3586">
                  <w:rPr>
                    <w:rStyle w:val="Hyperlink"/>
                    <w:noProof/>
                  </w:rPr>
                  <w:t>Comparative Models for Small and Medium Space Powers</w:t>
                </w:r>
                <w:r>
                  <w:rPr>
                    <w:noProof/>
                    <w:webHidden/>
                  </w:rPr>
                  <w:tab/>
                </w:r>
                <w:r>
                  <w:rPr>
                    <w:noProof/>
                    <w:webHidden/>
                  </w:rPr>
                  <w:fldChar w:fldCharType="begin"/>
                </w:r>
                <w:r>
                  <w:rPr>
                    <w:noProof/>
                    <w:webHidden/>
                  </w:rPr>
                  <w:instrText xml:space="preserve"> PAGEREF _Toc226533942 \h </w:instrText>
                </w:r>
                <w:r>
                  <w:rPr>
                    <w:noProof/>
                    <w:webHidden/>
                  </w:rPr>
                </w:r>
                <w:r>
                  <w:rPr>
                    <w:noProof/>
                    <w:webHidden/>
                  </w:rPr>
                  <w:fldChar w:fldCharType="separate"/>
                </w:r>
                <w:r>
                  <w:rPr>
                    <w:noProof/>
                    <w:webHidden/>
                  </w:rPr>
                  <w:t>27</w:t>
                </w:r>
                <w:r>
                  <w:rPr>
                    <w:noProof/>
                    <w:webHidden/>
                  </w:rPr>
                  <w:fldChar w:fldCharType="end"/>
                </w:r>
              </w:hyperlink>
            </w:p>
            <w:p w14:paraId="290BFD00" w14:textId="2FAD5458" w:rsidR="006A671F" w:rsidRDefault="006A671F">
              <w:pPr>
                <w:pStyle w:val="TOC3"/>
                <w:tabs>
                  <w:tab w:val="left" w:pos="1440"/>
                  <w:tab w:val="right" w:leader="dot" w:pos="9350"/>
                </w:tabs>
                <w:rPr>
                  <w:rFonts w:asciiTheme="minorHAnsi" w:eastAsiaTheme="minorEastAsia" w:hAnsiTheme="minorHAnsi"/>
                  <w:noProof/>
                  <w:lang w:val="en-US"/>
                </w:rPr>
              </w:pPr>
              <w:hyperlink w:anchor="_Toc226533943" w:history="1">
                <w:r w:rsidRPr="005A3586">
                  <w:rPr>
                    <w:rStyle w:val="Hyperlink"/>
                    <w:noProof/>
                  </w:rPr>
                  <w:t>3.4.1.</w:t>
                </w:r>
                <w:r>
                  <w:rPr>
                    <w:rFonts w:asciiTheme="minorHAnsi" w:eastAsiaTheme="minorEastAsia" w:hAnsiTheme="minorHAnsi"/>
                    <w:noProof/>
                    <w:lang w:val="en-US"/>
                  </w:rPr>
                  <w:tab/>
                </w:r>
                <w:r w:rsidRPr="005A3586">
                  <w:rPr>
                    <w:rStyle w:val="Hyperlink"/>
                    <w:noProof/>
                  </w:rPr>
                  <w:t>Finland: Territorial Defence and Integrated Resilience</w:t>
                </w:r>
                <w:r>
                  <w:rPr>
                    <w:noProof/>
                    <w:webHidden/>
                  </w:rPr>
                  <w:tab/>
                </w:r>
                <w:r>
                  <w:rPr>
                    <w:noProof/>
                    <w:webHidden/>
                  </w:rPr>
                  <w:fldChar w:fldCharType="begin"/>
                </w:r>
                <w:r>
                  <w:rPr>
                    <w:noProof/>
                    <w:webHidden/>
                  </w:rPr>
                  <w:instrText xml:space="preserve"> PAGEREF _Toc226533943 \h </w:instrText>
                </w:r>
                <w:r>
                  <w:rPr>
                    <w:noProof/>
                    <w:webHidden/>
                  </w:rPr>
                </w:r>
                <w:r>
                  <w:rPr>
                    <w:noProof/>
                    <w:webHidden/>
                  </w:rPr>
                  <w:fldChar w:fldCharType="separate"/>
                </w:r>
                <w:r>
                  <w:rPr>
                    <w:noProof/>
                    <w:webHidden/>
                  </w:rPr>
                  <w:t>27</w:t>
                </w:r>
                <w:r>
                  <w:rPr>
                    <w:noProof/>
                    <w:webHidden/>
                  </w:rPr>
                  <w:fldChar w:fldCharType="end"/>
                </w:r>
              </w:hyperlink>
            </w:p>
            <w:p w14:paraId="4BF5A132" w14:textId="5F1E3D64" w:rsidR="006A671F" w:rsidRDefault="006A671F">
              <w:pPr>
                <w:pStyle w:val="TOC3"/>
                <w:tabs>
                  <w:tab w:val="left" w:pos="1440"/>
                  <w:tab w:val="right" w:leader="dot" w:pos="9350"/>
                </w:tabs>
                <w:rPr>
                  <w:rFonts w:asciiTheme="minorHAnsi" w:eastAsiaTheme="minorEastAsia" w:hAnsiTheme="minorHAnsi"/>
                  <w:noProof/>
                  <w:lang w:val="en-US"/>
                </w:rPr>
              </w:pPr>
              <w:hyperlink w:anchor="_Toc226533944" w:history="1">
                <w:r w:rsidRPr="005A3586">
                  <w:rPr>
                    <w:rStyle w:val="Hyperlink"/>
                    <w:noProof/>
                  </w:rPr>
                  <w:t>3.4.2.</w:t>
                </w:r>
                <w:r>
                  <w:rPr>
                    <w:rFonts w:asciiTheme="minorHAnsi" w:eastAsiaTheme="minorEastAsia" w:hAnsiTheme="minorHAnsi"/>
                    <w:noProof/>
                    <w:lang w:val="en-US"/>
                  </w:rPr>
                  <w:tab/>
                </w:r>
                <w:r w:rsidRPr="005A3586">
                  <w:rPr>
                    <w:rStyle w:val="Hyperlink"/>
                    <w:noProof/>
                  </w:rPr>
                  <w:t>The Netherlands: Institutionalising Defence Space</w:t>
                </w:r>
                <w:r>
                  <w:rPr>
                    <w:noProof/>
                    <w:webHidden/>
                  </w:rPr>
                  <w:tab/>
                </w:r>
                <w:r>
                  <w:rPr>
                    <w:noProof/>
                    <w:webHidden/>
                  </w:rPr>
                  <w:fldChar w:fldCharType="begin"/>
                </w:r>
                <w:r>
                  <w:rPr>
                    <w:noProof/>
                    <w:webHidden/>
                  </w:rPr>
                  <w:instrText xml:space="preserve"> PAGEREF _Toc226533944 \h </w:instrText>
                </w:r>
                <w:r>
                  <w:rPr>
                    <w:noProof/>
                    <w:webHidden/>
                  </w:rPr>
                </w:r>
                <w:r>
                  <w:rPr>
                    <w:noProof/>
                    <w:webHidden/>
                  </w:rPr>
                  <w:fldChar w:fldCharType="separate"/>
                </w:r>
                <w:r>
                  <w:rPr>
                    <w:noProof/>
                    <w:webHidden/>
                  </w:rPr>
                  <w:t>28</w:t>
                </w:r>
                <w:r>
                  <w:rPr>
                    <w:noProof/>
                    <w:webHidden/>
                  </w:rPr>
                  <w:fldChar w:fldCharType="end"/>
                </w:r>
              </w:hyperlink>
            </w:p>
            <w:p w14:paraId="2935DDD9" w14:textId="1F557146" w:rsidR="006A671F" w:rsidRDefault="006A671F">
              <w:pPr>
                <w:pStyle w:val="TOC3"/>
                <w:tabs>
                  <w:tab w:val="left" w:pos="1440"/>
                  <w:tab w:val="right" w:leader="dot" w:pos="9350"/>
                </w:tabs>
                <w:rPr>
                  <w:rFonts w:asciiTheme="minorHAnsi" w:eastAsiaTheme="minorEastAsia" w:hAnsiTheme="minorHAnsi"/>
                  <w:noProof/>
                  <w:lang w:val="en-US"/>
                </w:rPr>
              </w:pPr>
              <w:hyperlink w:anchor="_Toc226533945" w:history="1">
                <w:r w:rsidRPr="005A3586">
                  <w:rPr>
                    <w:rStyle w:val="Hyperlink"/>
                    <w:noProof/>
                  </w:rPr>
                  <w:t>3.4.3.</w:t>
                </w:r>
                <w:r>
                  <w:rPr>
                    <w:rFonts w:asciiTheme="minorHAnsi" w:eastAsiaTheme="minorEastAsia" w:hAnsiTheme="minorHAnsi"/>
                    <w:noProof/>
                    <w:lang w:val="en-US"/>
                  </w:rPr>
                  <w:tab/>
                </w:r>
                <w:r w:rsidRPr="005A3586">
                  <w:rPr>
                    <w:rStyle w:val="Hyperlink"/>
                    <w:noProof/>
                  </w:rPr>
                  <w:t>Luxembourg: Niche Specialization and Economic Leverage</w:t>
                </w:r>
                <w:r>
                  <w:rPr>
                    <w:noProof/>
                    <w:webHidden/>
                  </w:rPr>
                  <w:tab/>
                </w:r>
                <w:r>
                  <w:rPr>
                    <w:noProof/>
                    <w:webHidden/>
                  </w:rPr>
                  <w:fldChar w:fldCharType="begin"/>
                </w:r>
                <w:r>
                  <w:rPr>
                    <w:noProof/>
                    <w:webHidden/>
                  </w:rPr>
                  <w:instrText xml:space="preserve"> PAGEREF _Toc226533945 \h </w:instrText>
                </w:r>
                <w:r>
                  <w:rPr>
                    <w:noProof/>
                    <w:webHidden/>
                  </w:rPr>
                </w:r>
                <w:r>
                  <w:rPr>
                    <w:noProof/>
                    <w:webHidden/>
                  </w:rPr>
                  <w:fldChar w:fldCharType="separate"/>
                </w:r>
                <w:r>
                  <w:rPr>
                    <w:noProof/>
                    <w:webHidden/>
                  </w:rPr>
                  <w:t>29</w:t>
                </w:r>
                <w:r>
                  <w:rPr>
                    <w:noProof/>
                    <w:webHidden/>
                  </w:rPr>
                  <w:fldChar w:fldCharType="end"/>
                </w:r>
              </w:hyperlink>
            </w:p>
            <w:p w14:paraId="128C89C7" w14:textId="60EE4293" w:rsidR="006A671F" w:rsidRDefault="006A671F">
              <w:pPr>
                <w:pStyle w:val="TOC3"/>
                <w:tabs>
                  <w:tab w:val="left" w:pos="1440"/>
                  <w:tab w:val="right" w:leader="dot" w:pos="9350"/>
                </w:tabs>
                <w:rPr>
                  <w:rFonts w:asciiTheme="minorHAnsi" w:eastAsiaTheme="minorEastAsia" w:hAnsiTheme="minorHAnsi"/>
                  <w:noProof/>
                  <w:lang w:val="en-US"/>
                </w:rPr>
              </w:pPr>
              <w:hyperlink w:anchor="_Toc226533946" w:history="1">
                <w:r w:rsidRPr="005A3586">
                  <w:rPr>
                    <w:rStyle w:val="Hyperlink"/>
                    <w:noProof/>
                  </w:rPr>
                  <w:t>3.4.4.</w:t>
                </w:r>
                <w:r>
                  <w:rPr>
                    <w:rFonts w:asciiTheme="minorHAnsi" w:eastAsiaTheme="minorEastAsia" w:hAnsiTheme="minorHAnsi"/>
                    <w:noProof/>
                    <w:lang w:val="en-US"/>
                  </w:rPr>
                  <w:tab/>
                </w:r>
                <w:r w:rsidRPr="005A3586">
                  <w:rPr>
                    <w:rStyle w:val="Hyperlink"/>
                    <w:noProof/>
                  </w:rPr>
                  <w:t>New Zealand: Scale-Appropriate Institutionalisation and Alliances</w:t>
                </w:r>
                <w:r>
                  <w:rPr>
                    <w:noProof/>
                    <w:webHidden/>
                  </w:rPr>
                  <w:tab/>
                </w:r>
                <w:r>
                  <w:rPr>
                    <w:noProof/>
                    <w:webHidden/>
                  </w:rPr>
                  <w:fldChar w:fldCharType="begin"/>
                </w:r>
                <w:r>
                  <w:rPr>
                    <w:noProof/>
                    <w:webHidden/>
                  </w:rPr>
                  <w:instrText xml:space="preserve"> PAGEREF _Toc226533946 \h </w:instrText>
                </w:r>
                <w:r>
                  <w:rPr>
                    <w:noProof/>
                    <w:webHidden/>
                  </w:rPr>
                </w:r>
                <w:r>
                  <w:rPr>
                    <w:noProof/>
                    <w:webHidden/>
                  </w:rPr>
                  <w:fldChar w:fldCharType="separate"/>
                </w:r>
                <w:r>
                  <w:rPr>
                    <w:noProof/>
                    <w:webHidden/>
                  </w:rPr>
                  <w:t>29</w:t>
                </w:r>
                <w:r>
                  <w:rPr>
                    <w:noProof/>
                    <w:webHidden/>
                  </w:rPr>
                  <w:fldChar w:fldCharType="end"/>
                </w:r>
              </w:hyperlink>
            </w:p>
            <w:p w14:paraId="348E56C2" w14:textId="63EDEB74" w:rsidR="006A671F" w:rsidRDefault="006A671F">
              <w:pPr>
                <w:pStyle w:val="TOC3"/>
                <w:tabs>
                  <w:tab w:val="left" w:pos="1440"/>
                  <w:tab w:val="right" w:leader="dot" w:pos="9350"/>
                </w:tabs>
                <w:rPr>
                  <w:rFonts w:asciiTheme="minorHAnsi" w:eastAsiaTheme="minorEastAsia" w:hAnsiTheme="minorHAnsi"/>
                  <w:noProof/>
                  <w:lang w:val="en-US"/>
                </w:rPr>
              </w:pPr>
              <w:hyperlink w:anchor="_Toc226533947" w:history="1">
                <w:r w:rsidRPr="005A3586">
                  <w:rPr>
                    <w:rStyle w:val="Hyperlink"/>
                    <w:noProof/>
                  </w:rPr>
                  <w:t>3.4.5.</w:t>
                </w:r>
                <w:r>
                  <w:rPr>
                    <w:rFonts w:asciiTheme="minorHAnsi" w:eastAsiaTheme="minorEastAsia" w:hAnsiTheme="minorHAnsi"/>
                    <w:noProof/>
                    <w:lang w:val="en-US"/>
                  </w:rPr>
                  <w:tab/>
                </w:r>
                <w:r w:rsidRPr="005A3586">
                  <w:rPr>
                    <w:rStyle w:val="Hyperlink"/>
                    <w:noProof/>
                  </w:rPr>
                  <w:t>The Ukraine Model: Commercial Value and Vulnerability</w:t>
                </w:r>
                <w:r>
                  <w:rPr>
                    <w:noProof/>
                    <w:webHidden/>
                  </w:rPr>
                  <w:tab/>
                </w:r>
                <w:r>
                  <w:rPr>
                    <w:noProof/>
                    <w:webHidden/>
                  </w:rPr>
                  <w:fldChar w:fldCharType="begin"/>
                </w:r>
                <w:r>
                  <w:rPr>
                    <w:noProof/>
                    <w:webHidden/>
                  </w:rPr>
                  <w:instrText xml:space="preserve"> PAGEREF _Toc226533947 \h </w:instrText>
                </w:r>
                <w:r>
                  <w:rPr>
                    <w:noProof/>
                    <w:webHidden/>
                  </w:rPr>
                </w:r>
                <w:r>
                  <w:rPr>
                    <w:noProof/>
                    <w:webHidden/>
                  </w:rPr>
                  <w:fldChar w:fldCharType="separate"/>
                </w:r>
                <w:r>
                  <w:rPr>
                    <w:noProof/>
                    <w:webHidden/>
                  </w:rPr>
                  <w:t>30</w:t>
                </w:r>
                <w:r>
                  <w:rPr>
                    <w:noProof/>
                    <w:webHidden/>
                  </w:rPr>
                  <w:fldChar w:fldCharType="end"/>
                </w:r>
              </w:hyperlink>
            </w:p>
            <w:p w14:paraId="53A3248C" w14:textId="64675367" w:rsidR="006A671F" w:rsidRDefault="006A671F">
              <w:pPr>
                <w:pStyle w:val="TOC2"/>
                <w:tabs>
                  <w:tab w:val="left" w:pos="960"/>
                  <w:tab w:val="right" w:leader="dot" w:pos="9350"/>
                </w:tabs>
                <w:rPr>
                  <w:rFonts w:asciiTheme="minorHAnsi" w:eastAsiaTheme="minorEastAsia" w:hAnsiTheme="minorHAnsi"/>
                  <w:noProof/>
                  <w:lang w:val="en-US"/>
                </w:rPr>
              </w:pPr>
              <w:hyperlink w:anchor="_Toc226533948" w:history="1">
                <w:r w:rsidRPr="005A3586">
                  <w:rPr>
                    <w:rStyle w:val="Hyperlink"/>
                    <w:rFonts w:eastAsia="Times New Roman"/>
                    <w:noProof/>
                  </w:rPr>
                  <w:t>3.5.</w:t>
                </w:r>
                <w:r>
                  <w:rPr>
                    <w:rFonts w:asciiTheme="minorHAnsi" w:eastAsiaTheme="minorEastAsia" w:hAnsiTheme="minorHAnsi"/>
                    <w:noProof/>
                    <w:lang w:val="en-US"/>
                  </w:rPr>
                  <w:tab/>
                </w:r>
                <w:r w:rsidRPr="005A3586">
                  <w:rPr>
                    <w:rStyle w:val="Hyperlink"/>
                    <w:rFonts w:eastAsia="Times New Roman"/>
                    <w:noProof/>
                  </w:rPr>
                  <w:t>A Coherent Irish Space Security Model</w:t>
                </w:r>
                <w:r>
                  <w:rPr>
                    <w:noProof/>
                    <w:webHidden/>
                  </w:rPr>
                  <w:tab/>
                </w:r>
                <w:r>
                  <w:rPr>
                    <w:noProof/>
                    <w:webHidden/>
                  </w:rPr>
                  <w:fldChar w:fldCharType="begin"/>
                </w:r>
                <w:r>
                  <w:rPr>
                    <w:noProof/>
                    <w:webHidden/>
                  </w:rPr>
                  <w:instrText xml:space="preserve"> PAGEREF _Toc226533948 \h </w:instrText>
                </w:r>
                <w:r>
                  <w:rPr>
                    <w:noProof/>
                    <w:webHidden/>
                  </w:rPr>
                </w:r>
                <w:r>
                  <w:rPr>
                    <w:noProof/>
                    <w:webHidden/>
                  </w:rPr>
                  <w:fldChar w:fldCharType="separate"/>
                </w:r>
                <w:r>
                  <w:rPr>
                    <w:noProof/>
                    <w:webHidden/>
                  </w:rPr>
                  <w:t>31</w:t>
                </w:r>
                <w:r>
                  <w:rPr>
                    <w:noProof/>
                    <w:webHidden/>
                  </w:rPr>
                  <w:fldChar w:fldCharType="end"/>
                </w:r>
              </w:hyperlink>
            </w:p>
            <w:p w14:paraId="34BDE10F" w14:textId="364BEF97" w:rsidR="006A671F" w:rsidRDefault="006A671F">
              <w:pPr>
                <w:pStyle w:val="TOC3"/>
                <w:tabs>
                  <w:tab w:val="left" w:pos="1440"/>
                  <w:tab w:val="right" w:leader="dot" w:pos="9350"/>
                </w:tabs>
                <w:rPr>
                  <w:rFonts w:asciiTheme="minorHAnsi" w:eastAsiaTheme="minorEastAsia" w:hAnsiTheme="minorHAnsi"/>
                  <w:noProof/>
                  <w:lang w:val="en-US"/>
                </w:rPr>
              </w:pPr>
              <w:hyperlink w:anchor="_Toc226533949" w:history="1">
                <w:r w:rsidRPr="005A3586">
                  <w:rPr>
                    <w:rStyle w:val="Hyperlink"/>
                    <w:rFonts w:eastAsia="Times New Roman"/>
                    <w:noProof/>
                  </w:rPr>
                  <w:t>3.5.1.</w:t>
                </w:r>
                <w:r>
                  <w:rPr>
                    <w:rFonts w:asciiTheme="minorHAnsi" w:eastAsiaTheme="minorEastAsia" w:hAnsiTheme="minorHAnsi"/>
                    <w:noProof/>
                    <w:lang w:val="en-US"/>
                  </w:rPr>
                  <w:tab/>
                </w:r>
                <w:r w:rsidRPr="005A3586">
                  <w:rPr>
                    <w:rStyle w:val="Hyperlink"/>
                    <w:rFonts w:eastAsia="Times New Roman"/>
                    <w:noProof/>
                  </w:rPr>
                  <w:t>Institutional Architecture</w:t>
                </w:r>
                <w:r>
                  <w:rPr>
                    <w:noProof/>
                    <w:webHidden/>
                  </w:rPr>
                  <w:tab/>
                </w:r>
                <w:r>
                  <w:rPr>
                    <w:noProof/>
                    <w:webHidden/>
                  </w:rPr>
                  <w:fldChar w:fldCharType="begin"/>
                </w:r>
                <w:r>
                  <w:rPr>
                    <w:noProof/>
                    <w:webHidden/>
                  </w:rPr>
                  <w:instrText xml:space="preserve"> PAGEREF _Toc226533949 \h </w:instrText>
                </w:r>
                <w:r>
                  <w:rPr>
                    <w:noProof/>
                    <w:webHidden/>
                  </w:rPr>
                </w:r>
                <w:r>
                  <w:rPr>
                    <w:noProof/>
                    <w:webHidden/>
                  </w:rPr>
                  <w:fldChar w:fldCharType="separate"/>
                </w:r>
                <w:r>
                  <w:rPr>
                    <w:noProof/>
                    <w:webHidden/>
                  </w:rPr>
                  <w:t>32</w:t>
                </w:r>
                <w:r>
                  <w:rPr>
                    <w:noProof/>
                    <w:webHidden/>
                  </w:rPr>
                  <w:fldChar w:fldCharType="end"/>
                </w:r>
              </w:hyperlink>
            </w:p>
            <w:p w14:paraId="736FB9E3" w14:textId="3DB6F1A5" w:rsidR="006A671F" w:rsidRDefault="006A671F">
              <w:pPr>
                <w:pStyle w:val="TOC3"/>
                <w:tabs>
                  <w:tab w:val="left" w:pos="1440"/>
                  <w:tab w:val="right" w:leader="dot" w:pos="9350"/>
                </w:tabs>
                <w:rPr>
                  <w:rFonts w:asciiTheme="minorHAnsi" w:eastAsiaTheme="minorEastAsia" w:hAnsiTheme="minorHAnsi"/>
                  <w:noProof/>
                  <w:lang w:val="en-US"/>
                </w:rPr>
              </w:pPr>
              <w:hyperlink w:anchor="_Toc226533950" w:history="1">
                <w:r w:rsidRPr="005A3586">
                  <w:rPr>
                    <w:rStyle w:val="Hyperlink"/>
                    <w:rFonts w:eastAsia="Times New Roman"/>
                    <w:noProof/>
                  </w:rPr>
                  <w:t>3.5.2.</w:t>
                </w:r>
                <w:r>
                  <w:rPr>
                    <w:rFonts w:asciiTheme="minorHAnsi" w:eastAsiaTheme="minorEastAsia" w:hAnsiTheme="minorHAnsi"/>
                    <w:noProof/>
                    <w:lang w:val="en-US"/>
                  </w:rPr>
                  <w:tab/>
                </w:r>
                <w:r w:rsidRPr="005A3586">
                  <w:rPr>
                    <w:rStyle w:val="Hyperlink"/>
                    <w:rFonts w:eastAsia="Times New Roman"/>
                    <w:noProof/>
                  </w:rPr>
                  <w:t>Co-operation and Alliances.</w:t>
                </w:r>
                <w:r>
                  <w:rPr>
                    <w:noProof/>
                    <w:webHidden/>
                  </w:rPr>
                  <w:tab/>
                </w:r>
                <w:r>
                  <w:rPr>
                    <w:noProof/>
                    <w:webHidden/>
                  </w:rPr>
                  <w:fldChar w:fldCharType="begin"/>
                </w:r>
                <w:r>
                  <w:rPr>
                    <w:noProof/>
                    <w:webHidden/>
                  </w:rPr>
                  <w:instrText xml:space="preserve"> PAGEREF _Toc226533950 \h </w:instrText>
                </w:r>
                <w:r>
                  <w:rPr>
                    <w:noProof/>
                    <w:webHidden/>
                  </w:rPr>
                </w:r>
                <w:r>
                  <w:rPr>
                    <w:noProof/>
                    <w:webHidden/>
                  </w:rPr>
                  <w:fldChar w:fldCharType="separate"/>
                </w:r>
                <w:r>
                  <w:rPr>
                    <w:noProof/>
                    <w:webHidden/>
                  </w:rPr>
                  <w:t>35</w:t>
                </w:r>
                <w:r>
                  <w:rPr>
                    <w:noProof/>
                    <w:webHidden/>
                  </w:rPr>
                  <w:fldChar w:fldCharType="end"/>
                </w:r>
              </w:hyperlink>
            </w:p>
            <w:p w14:paraId="203B3792" w14:textId="60B498FF" w:rsidR="006A671F" w:rsidRDefault="006A671F">
              <w:pPr>
                <w:pStyle w:val="TOC3"/>
                <w:tabs>
                  <w:tab w:val="left" w:pos="1440"/>
                  <w:tab w:val="right" w:leader="dot" w:pos="9350"/>
                </w:tabs>
                <w:rPr>
                  <w:rFonts w:asciiTheme="minorHAnsi" w:eastAsiaTheme="minorEastAsia" w:hAnsiTheme="minorHAnsi"/>
                  <w:noProof/>
                  <w:lang w:val="en-US"/>
                </w:rPr>
              </w:pPr>
              <w:hyperlink w:anchor="_Toc226533951" w:history="1">
                <w:r w:rsidRPr="005A3586">
                  <w:rPr>
                    <w:rStyle w:val="Hyperlink"/>
                    <w:rFonts w:eastAsia="Times New Roman"/>
                    <w:noProof/>
                  </w:rPr>
                  <w:t>3.5.3.</w:t>
                </w:r>
                <w:r>
                  <w:rPr>
                    <w:rFonts w:asciiTheme="minorHAnsi" w:eastAsiaTheme="minorEastAsia" w:hAnsiTheme="minorHAnsi"/>
                    <w:noProof/>
                    <w:lang w:val="en-US"/>
                  </w:rPr>
                  <w:tab/>
                </w:r>
                <w:r w:rsidRPr="005A3586">
                  <w:rPr>
                    <w:rStyle w:val="Hyperlink"/>
                    <w:rFonts w:eastAsia="Times New Roman"/>
                    <w:noProof/>
                  </w:rPr>
                  <w:t>Commercial Integration</w:t>
                </w:r>
                <w:r>
                  <w:rPr>
                    <w:noProof/>
                    <w:webHidden/>
                  </w:rPr>
                  <w:tab/>
                </w:r>
                <w:r>
                  <w:rPr>
                    <w:noProof/>
                    <w:webHidden/>
                  </w:rPr>
                  <w:fldChar w:fldCharType="begin"/>
                </w:r>
                <w:r>
                  <w:rPr>
                    <w:noProof/>
                    <w:webHidden/>
                  </w:rPr>
                  <w:instrText xml:space="preserve"> PAGEREF _Toc226533951 \h </w:instrText>
                </w:r>
                <w:r>
                  <w:rPr>
                    <w:noProof/>
                    <w:webHidden/>
                  </w:rPr>
                </w:r>
                <w:r>
                  <w:rPr>
                    <w:noProof/>
                    <w:webHidden/>
                  </w:rPr>
                  <w:fldChar w:fldCharType="separate"/>
                </w:r>
                <w:r>
                  <w:rPr>
                    <w:noProof/>
                    <w:webHidden/>
                  </w:rPr>
                  <w:t>36</w:t>
                </w:r>
                <w:r>
                  <w:rPr>
                    <w:noProof/>
                    <w:webHidden/>
                  </w:rPr>
                  <w:fldChar w:fldCharType="end"/>
                </w:r>
              </w:hyperlink>
            </w:p>
            <w:p w14:paraId="1ACFAA7E" w14:textId="3E791AAD" w:rsidR="006A671F" w:rsidRDefault="006A671F">
              <w:pPr>
                <w:pStyle w:val="TOC3"/>
                <w:tabs>
                  <w:tab w:val="left" w:pos="1440"/>
                  <w:tab w:val="right" w:leader="dot" w:pos="9350"/>
                </w:tabs>
                <w:rPr>
                  <w:rFonts w:asciiTheme="minorHAnsi" w:eastAsiaTheme="minorEastAsia" w:hAnsiTheme="minorHAnsi"/>
                  <w:noProof/>
                  <w:lang w:val="en-US"/>
                </w:rPr>
              </w:pPr>
              <w:hyperlink w:anchor="_Toc226533952" w:history="1">
                <w:r w:rsidRPr="005A3586">
                  <w:rPr>
                    <w:rStyle w:val="Hyperlink"/>
                    <w:rFonts w:eastAsia="Times New Roman"/>
                    <w:noProof/>
                  </w:rPr>
                  <w:t>3.5.4.</w:t>
                </w:r>
                <w:r>
                  <w:rPr>
                    <w:rFonts w:asciiTheme="minorHAnsi" w:eastAsiaTheme="minorEastAsia" w:hAnsiTheme="minorHAnsi"/>
                    <w:noProof/>
                    <w:lang w:val="en-US"/>
                  </w:rPr>
                  <w:tab/>
                </w:r>
                <w:r w:rsidRPr="005A3586">
                  <w:rPr>
                    <w:rStyle w:val="Hyperlink"/>
                    <w:rFonts w:eastAsia="Times New Roman"/>
                    <w:noProof/>
                  </w:rPr>
                  <w:t>Developing Niche Capabilities</w:t>
                </w:r>
                <w:r>
                  <w:rPr>
                    <w:noProof/>
                    <w:webHidden/>
                  </w:rPr>
                  <w:tab/>
                </w:r>
                <w:r>
                  <w:rPr>
                    <w:noProof/>
                    <w:webHidden/>
                  </w:rPr>
                  <w:fldChar w:fldCharType="begin"/>
                </w:r>
                <w:r>
                  <w:rPr>
                    <w:noProof/>
                    <w:webHidden/>
                  </w:rPr>
                  <w:instrText xml:space="preserve"> PAGEREF _Toc226533952 \h </w:instrText>
                </w:r>
                <w:r>
                  <w:rPr>
                    <w:noProof/>
                    <w:webHidden/>
                  </w:rPr>
                </w:r>
                <w:r>
                  <w:rPr>
                    <w:noProof/>
                    <w:webHidden/>
                  </w:rPr>
                  <w:fldChar w:fldCharType="separate"/>
                </w:r>
                <w:r>
                  <w:rPr>
                    <w:noProof/>
                    <w:webHidden/>
                  </w:rPr>
                  <w:t>37</w:t>
                </w:r>
                <w:r>
                  <w:rPr>
                    <w:noProof/>
                    <w:webHidden/>
                  </w:rPr>
                  <w:fldChar w:fldCharType="end"/>
                </w:r>
              </w:hyperlink>
            </w:p>
            <w:p w14:paraId="2BCC5E12" w14:textId="16D133A0" w:rsidR="006A671F" w:rsidRDefault="006A671F">
              <w:pPr>
                <w:pStyle w:val="TOC3"/>
                <w:tabs>
                  <w:tab w:val="left" w:pos="1440"/>
                  <w:tab w:val="right" w:leader="dot" w:pos="9350"/>
                </w:tabs>
                <w:rPr>
                  <w:rFonts w:asciiTheme="minorHAnsi" w:eastAsiaTheme="minorEastAsia" w:hAnsiTheme="minorHAnsi"/>
                  <w:noProof/>
                  <w:lang w:val="en-US"/>
                </w:rPr>
              </w:pPr>
              <w:hyperlink w:anchor="_Toc226533953" w:history="1">
                <w:r w:rsidRPr="005A3586">
                  <w:rPr>
                    <w:rStyle w:val="Hyperlink"/>
                    <w:rFonts w:eastAsia="Times New Roman"/>
                    <w:noProof/>
                  </w:rPr>
                  <w:t>3.5.5.</w:t>
                </w:r>
                <w:r>
                  <w:rPr>
                    <w:rFonts w:asciiTheme="minorHAnsi" w:eastAsiaTheme="minorEastAsia" w:hAnsiTheme="minorHAnsi"/>
                    <w:noProof/>
                    <w:lang w:val="en-US"/>
                  </w:rPr>
                  <w:tab/>
                </w:r>
                <w:r w:rsidRPr="005A3586">
                  <w:rPr>
                    <w:rStyle w:val="Hyperlink"/>
                    <w:rFonts w:eastAsia="Times New Roman"/>
                    <w:noProof/>
                  </w:rPr>
                  <w:t>All Force Resiliency (Resilience as Deterrence)</w:t>
                </w:r>
                <w:r>
                  <w:rPr>
                    <w:noProof/>
                    <w:webHidden/>
                  </w:rPr>
                  <w:tab/>
                </w:r>
                <w:r>
                  <w:rPr>
                    <w:noProof/>
                    <w:webHidden/>
                  </w:rPr>
                  <w:fldChar w:fldCharType="begin"/>
                </w:r>
                <w:r>
                  <w:rPr>
                    <w:noProof/>
                    <w:webHidden/>
                  </w:rPr>
                  <w:instrText xml:space="preserve"> PAGEREF _Toc226533953 \h </w:instrText>
                </w:r>
                <w:r>
                  <w:rPr>
                    <w:noProof/>
                    <w:webHidden/>
                  </w:rPr>
                </w:r>
                <w:r>
                  <w:rPr>
                    <w:noProof/>
                    <w:webHidden/>
                  </w:rPr>
                  <w:fldChar w:fldCharType="separate"/>
                </w:r>
                <w:r>
                  <w:rPr>
                    <w:noProof/>
                    <w:webHidden/>
                  </w:rPr>
                  <w:t>39</w:t>
                </w:r>
                <w:r>
                  <w:rPr>
                    <w:noProof/>
                    <w:webHidden/>
                  </w:rPr>
                  <w:fldChar w:fldCharType="end"/>
                </w:r>
              </w:hyperlink>
            </w:p>
            <w:p w14:paraId="5A419827" w14:textId="573A1982" w:rsidR="006A671F" w:rsidRDefault="006A671F">
              <w:pPr>
                <w:pStyle w:val="TOC1"/>
                <w:tabs>
                  <w:tab w:val="left" w:pos="480"/>
                  <w:tab w:val="right" w:leader="dot" w:pos="9350"/>
                </w:tabs>
                <w:rPr>
                  <w:rFonts w:asciiTheme="minorHAnsi" w:eastAsiaTheme="minorEastAsia" w:hAnsiTheme="minorHAnsi"/>
                  <w:noProof/>
                  <w:lang w:val="en-US"/>
                </w:rPr>
              </w:pPr>
              <w:hyperlink w:anchor="_Toc226533954" w:history="1">
                <w:r w:rsidRPr="005A3586">
                  <w:rPr>
                    <w:rStyle w:val="Hyperlink"/>
                    <w:rFonts w:eastAsia="Times New Roman"/>
                    <w:noProof/>
                  </w:rPr>
                  <w:t>4.</w:t>
                </w:r>
                <w:r>
                  <w:rPr>
                    <w:rFonts w:asciiTheme="minorHAnsi" w:eastAsiaTheme="minorEastAsia" w:hAnsiTheme="minorHAnsi"/>
                    <w:noProof/>
                    <w:lang w:val="en-US"/>
                  </w:rPr>
                  <w:tab/>
                </w:r>
                <w:r w:rsidRPr="005A3586">
                  <w:rPr>
                    <w:rStyle w:val="Hyperlink"/>
                    <w:rFonts w:eastAsia="Times New Roman"/>
                    <w:noProof/>
                  </w:rPr>
                  <w:t>A BLUEPRINT FOR SMALL-STATE SPACE RESILIENCE</w:t>
                </w:r>
                <w:r>
                  <w:rPr>
                    <w:noProof/>
                    <w:webHidden/>
                  </w:rPr>
                  <w:tab/>
                </w:r>
                <w:r>
                  <w:rPr>
                    <w:noProof/>
                    <w:webHidden/>
                  </w:rPr>
                  <w:fldChar w:fldCharType="begin"/>
                </w:r>
                <w:r>
                  <w:rPr>
                    <w:noProof/>
                    <w:webHidden/>
                  </w:rPr>
                  <w:instrText xml:space="preserve"> PAGEREF _Toc226533954 \h </w:instrText>
                </w:r>
                <w:r>
                  <w:rPr>
                    <w:noProof/>
                    <w:webHidden/>
                  </w:rPr>
                </w:r>
                <w:r>
                  <w:rPr>
                    <w:noProof/>
                    <w:webHidden/>
                  </w:rPr>
                  <w:fldChar w:fldCharType="separate"/>
                </w:r>
                <w:r>
                  <w:rPr>
                    <w:noProof/>
                    <w:webHidden/>
                  </w:rPr>
                  <w:t>42</w:t>
                </w:r>
                <w:r>
                  <w:rPr>
                    <w:noProof/>
                    <w:webHidden/>
                  </w:rPr>
                  <w:fldChar w:fldCharType="end"/>
                </w:r>
              </w:hyperlink>
            </w:p>
            <w:p w14:paraId="2176F22D" w14:textId="4AACDDC7" w:rsidR="006A671F" w:rsidRDefault="006A671F">
              <w:pPr>
                <w:pStyle w:val="TOC2"/>
                <w:tabs>
                  <w:tab w:val="left" w:pos="960"/>
                  <w:tab w:val="right" w:leader="dot" w:pos="9350"/>
                </w:tabs>
                <w:rPr>
                  <w:rFonts w:asciiTheme="minorHAnsi" w:eastAsiaTheme="minorEastAsia" w:hAnsiTheme="minorHAnsi"/>
                  <w:noProof/>
                  <w:lang w:val="en-US"/>
                </w:rPr>
              </w:pPr>
              <w:hyperlink w:anchor="_Toc226533955" w:history="1">
                <w:r w:rsidRPr="005A3586">
                  <w:rPr>
                    <w:rStyle w:val="Hyperlink"/>
                    <w:rFonts w:eastAsia="Times New Roman"/>
                    <w:noProof/>
                  </w:rPr>
                  <w:t>4.1.</w:t>
                </w:r>
                <w:r>
                  <w:rPr>
                    <w:rFonts w:asciiTheme="minorHAnsi" w:eastAsiaTheme="minorEastAsia" w:hAnsiTheme="minorHAnsi"/>
                    <w:noProof/>
                    <w:lang w:val="en-US"/>
                  </w:rPr>
                  <w:tab/>
                </w:r>
                <w:r w:rsidRPr="005A3586">
                  <w:rPr>
                    <w:rStyle w:val="Hyperlink"/>
                    <w:rFonts w:eastAsia="Times New Roman"/>
                    <w:noProof/>
                  </w:rPr>
                  <w:t>Strategic Positioning</w:t>
                </w:r>
                <w:r>
                  <w:rPr>
                    <w:noProof/>
                    <w:webHidden/>
                  </w:rPr>
                  <w:tab/>
                </w:r>
                <w:r>
                  <w:rPr>
                    <w:noProof/>
                    <w:webHidden/>
                  </w:rPr>
                  <w:fldChar w:fldCharType="begin"/>
                </w:r>
                <w:r>
                  <w:rPr>
                    <w:noProof/>
                    <w:webHidden/>
                  </w:rPr>
                  <w:instrText xml:space="preserve"> PAGEREF _Toc226533955 \h </w:instrText>
                </w:r>
                <w:r>
                  <w:rPr>
                    <w:noProof/>
                    <w:webHidden/>
                  </w:rPr>
                </w:r>
                <w:r>
                  <w:rPr>
                    <w:noProof/>
                    <w:webHidden/>
                  </w:rPr>
                  <w:fldChar w:fldCharType="separate"/>
                </w:r>
                <w:r>
                  <w:rPr>
                    <w:noProof/>
                    <w:webHidden/>
                  </w:rPr>
                  <w:t>42</w:t>
                </w:r>
                <w:r>
                  <w:rPr>
                    <w:noProof/>
                    <w:webHidden/>
                  </w:rPr>
                  <w:fldChar w:fldCharType="end"/>
                </w:r>
              </w:hyperlink>
            </w:p>
            <w:p w14:paraId="6B35724D" w14:textId="748F58EA" w:rsidR="006A671F" w:rsidRDefault="006A671F">
              <w:pPr>
                <w:pStyle w:val="TOC2"/>
                <w:tabs>
                  <w:tab w:val="left" w:pos="960"/>
                  <w:tab w:val="right" w:leader="dot" w:pos="9350"/>
                </w:tabs>
                <w:rPr>
                  <w:rFonts w:asciiTheme="minorHAnsi" w:eastAsiaTheme="minorEastAsia" w:hAnsiTheme="minorHAnsi"/>
                  <w:noProof/>
                  <w:lang w:val="en-US"/>
                </w:rPr>
              </w:pPr>
              <w:hyperlink w:anchor="_Toc226533956" w:history="1">
                <w:r w:rsidRPr="005A3586">
                  <w:rPr>
                    <w:rStyle w:val="Hyperlink"/>
                    <w:rFonts w:eastAsia="Times New Roman"/>
                    <w:noProof/>
                  </w:rPr>
                  <w:t>4.2.</w:t>
                </w:r>
                <w:r>
                  <w:rPr>
                    <w:rFonts w:asciiTheme="minorHAnsi" w:eastAsiaTheme="minorEastAsia" w:hAnsiTheme="minorHAnsi"/>
                    <w:noProof/>
                    <w:lang w:val="en-US"/>
                  </w:rPr>
                  <w:tab/>
                </w:r>
                <w:r w:rsidRPr="005A3586">
                  <w:rPr>
                    <w:rStyle w:val="Hyperlink"/>
                    <w:rFonts w:eastAsia="Times New Roman"/>
                    <w:noProof/>
                  </w:rPr>
                  <w:t>Phased Implementation Model</w:t>
                </w:r>
                <w:r>
                  <w:rPr>
                    <w:noProof/>
                    <w:webHidden/>
                  </w:rPr>
                  <w:tab/>
                </w:r>
                <w:r>
                  <w:rPr>
                    <w:noProof/>
                    <w:webHidden/>
                  </w:rPr>
                  <w:fldChar w:fldCharType="begin"/>
                </w:r>
                <w:r>
                  <w:rPr>
                    <w:noProof/>
                    <w:webHidden/>
                  </w:rPr>
                  <w:instrText xml:space="preserve"> PAGEREF _Toc226533956 \h </w:instrText>
                </w:r>
                <w:r>
                  <w:rPr>
                    <w:noProof/>
                    <w:webHidden/>
                  </w:rPr>
                </w:r>
                <w:r>
                  <w:rPr>
                    <w:noProof/>
                    <w:webHidden/>
                  </w:rPr>
                  <w:fldChar w:fldCharType="separate"/>
                </w:r>
                <w:r>
                  <w:rPr>
                    <w:noProof/>
                    <w:webHidden/>
                  </w:rPr>
                  <w:t>43</w:t>
                </w:r>
                <w:r>
                  <w:rPr>
                    <w:noProof/>
                    <w:webHidden/>
                  </w:rPr>
                  <w:fldChar w:fldCharType="end"/>
                </w:r>
              </w:hyperlink>
            </w:p>
            <w:p w14:paraId="7C6ED886" w14:textId="1E4A71BB" w:rsidR="006A671F" w:rsidRDefault="006A671F">
              <w:pPr>
                <w:pStyle w:val="TOC3"/>
                <w:tabs>
                  <w:tab w:val="left" w:pos="1440"/>
                  <w:tab w:val="right" w:leader="dot" w:pos="9350"/>
                </w:tabs>
                <w:rPr>
                  <w:rFonts w:asciiTheme="minorHAnsi" w:eastAsiaTheme="minorEastAsia" w:hAnsiTheme="minorHAnsi"/>
                  <w:noProof/>
                  <w:lang w:val="en-US"/>
                </w:rPr>
              </w:pPr>
              <w:hyperlink w:anchor="_Toc226533957" w:history="1">
                <w:r w:rsidRPr="005A3586">
                  <w:rPr>
                    <w:rStyle w:val="Hyperlink"/>
                    <w:rFonts w:eastAsia="Times New Roman"/>
                    <w:noProof/>
                  </w:rPr>
                  <w:t>4.2.1.</w:t>
                </w:r>
                <w:r>
                  <w:rPr>
                    <w:rFonts w:asciiTheme="minorHAnsi" w:eastAsiaTheme="minorEastAsia" w:hAnsiTheme="minorHAnsi"/>
                    <w:noProof/>
                    <w:lang w:val="en-US"/>
                  </w:rPr>
                  <w:tab/>
                </w:r>
                <w:r w:rsidRPr="005A3586">
                  <w:rPr>
                    <w:rStyle w:val="Hyperlink"/>
                    <w:rFonts w:eastAsia="Times New Roman"/>
                    <w:noProof/>
                  </w:rPr>
                  <w:t>Phase I - Institutional</w:t>
                </w:r>
                <w:r>
                  <w:rPr>
                    <w:noProof/>
                    <w:webHidden/>
                  </w:rPr>
                  <w:tab/>
                </w:r>
                <w:r>
                  <w:rPr>
                    <w:noProof/>
                    <w:webHidden/>
                  </w:rPr>
                  <w:fldChar w:fldCharType="begin"/>
                </w:r>
                <w:r>
                  <w:rPr>
                    <w:noProof/>
                    <w:webHidden/>
                  </w:rPr>
                  <w:instrText xml:space="preserve"> PAGEREF _Toc226533957 \h </w:instrText>
                </w:r>
                <w:r>
                  <w:rPr>
                    <w:noProof/>
                    <w:webHidden/>
                  </w:rPr>
                </w:r>
                <w:r>
                  <w:rPr>
                    <w:noProof/>
                    <w:webHidden/>
                  </w:rPr>
                  <w:fldChar w:fldCharType="separate"/>
                </w:r>
                <w:r>
                  <w:rPr>
                    <w:noProof/>
                    <w:webHidden/>
                  </w:rPr>
                  <w:t>44</w:t>
                </w:r>
                <w:r>
                  <w:rPr>
                    <w:noProof/>
                    <w:webHidden/>
                  </w:rPr>
                  <w:fldChar w:fldCharType="end"/>
                </w:r>
              </w:hyperlink>
            </w:p>
            <w:p w14:paraId="437583E4" w14:textId="1106DE47" w:rsidR="006A671F" w:rsidRDefault="006A671F">
              <w:pPr>
                <w:pStyle w:val="TOC3"/>
                <w:tabs>
                  <w:tab w:val="left" w:pos="1440"/>
                  <w:tab w:val="right" w:leader="dot" w:pos="9350"/>
                </w:tabs>
                <w:rPr>
                  <w:rFonts w:asciiTheme="minorHAnsi" w:eastAsiaTheme="minorEastAsia" w:hAnsiTheme="minorHAnsi"/>
                  <w:noProof/>
                  <w:lang w:val="en-US"/>
                </w:rPr>
              </w:pPr>
              <w:hyperlink w:anchor="_Toc226533958" w:history="1">
                <w:r w:rsidRPr="005A3586">
                  <w:rPr>
                    <w:rStyle w:val="Hyperlink"/>
                    <w:rFonts w:eastAsia="Times New Roman"/>
                    <w:noProof/>
                  </w:rPr>
                  <w:t>4.2.2.</w:t>
                </w:r>
                <w:r>
                  <w:rPr>
                    <w:rFonts w:asciiTheme="minorHAnsi" w:eastAsiaTheme="minorEastAsia" w:hAnsiTheme="minorHAnsi"/>
                    <w:noProof/>
                    <w:lang w:val="en-US"/>
                  </w:rPr>
                  <w:tab/>
                </w:r>
                <w:r w:rsidRPr="005A3586">
                  <w:rPr>
                    <w:rStyle w:val="Hyperlink"/>
                    <w:rFonts w:eastAsia="Times New Roman"/>
                    <w:noProof/>
                  </w:rPr>
                  <w:t>Phase II - Awareness</w:t>
                </w:r>
                <w:r>
                  <w:rPr>
                    <w:noProof/>
                    <w:webHidden/>
                  </w:rPr>
                  <w:tab/>
                </w:r>
                <w:r>
                  <w:rPr>
                    <w:noProof/>
                    <w:webHidden/>
                  </w:rPr>
                  <w:fldChar w:fldCharType="begin"/>
                </w:r>
                <w:r>
                  <w:rPr>
                    <w:noProof/>
                    <w:webHidden/>
                  </w:rPr>
                  <w:instrText xml:space="preserve"> PAGEREF _Toc226533958 \h </w:instrText>
                </w:r>
                <w:r>
                  <w:rPr>
                    <w:noProof/>
                    <w:webHidden/>
                  </w:rPr>
                </w:r>
                <w:r>
                  <w:rPr>
                    <w:noProof/>
                    <w:webHidden/>
                  </w:rPr>
                  <w:fldChar w:fldCharType="separate"/>
                </w:r>
                <w:r>
                  <w:rPr>
                    <w:noProof/>
                    <w:webHidden/>
                  </w:rPr>
                  <w:t>45</w:t>
                </w:r>
                <w:r>
                  <w:rPr>
                    <w:noProof/>
                    <w:webHidden/>
                  </w:rPr>
                  <w:fldChar w:fldCharType="end"/>
                </w:r>
              </w:hyperlink>
            </w:p>
            <w:p w14:paraId="0E519B5F" w14:textId="7BF12FCC" w:rsidR="006A671F" w:rsidRDefault="006A671F">
              <w:pPr>
                <w:pStyle w:val="TOC3"/>
                <w:tabs>
                  <w:tab w:val="left" w:pos="1440"/>
                  <w:tab w:val="right" w:leader="dot" w:pos="9350"/>
                </w:tabs>
                <w:rPr>
                  <w:rFonts w:asciiTheme="minorHAnsi" w:eastAsiaTheme="minorEastAsia" w:hAnsiTheme="minorHAnsi"/>
                  <w:noProof/>
                  <w:lang w:val="en-US"/>
                </w:rPr>
              </w:pPr>
              <w:hyperlink w:anchor="_Toc226533959" w:history="1">
                <w:r w:rsidRPr="005A3586">
                  <w:rPr>
                    <w:rStyle w:val="Hyperlink"/>
                    <w:rFonts w:eastAsia="Times New Roman"/>
                    <w:noProof/>
                  </w:rPr>
                  <w:t>4.2.3.</w:t>
                </w:r>
                <w:r>
                  <w:rPr>
                    <w:rFonts w:asciiTheme="minorHAnsi" w:eastAsiaTheme="minorEastAsia" w:hAnsiTheme="minorHAnsi"/>
                    <w:noProof/>
                    <w:lang w:val="en-US"/>
                  </w:rPr>
                  <w:tab/>
                </w:r>
                <w:r w:rsidRPr="005A3586">
                  <w:rPr>
                    <w:rStyle w:val="Hyperlink"/>
                    <w:rFonts w:eastAsia="Times New Roman"/>
                    <w:noProof/>
                  </w:rPr>
                  <w:t>Phase III - Resilience</w:t>
                </w:r>
                <w:r>
                  <w:rPr>
                    <w:noProof/>
                    <w:webHidden/>
                  </w:rPr>
                  <w:tab/>
                </w:r>
                <w:r>
                  <w:rPr>
                    <w:noProof/>
                    <w:webHidden/>
                  </w:rPr>
                  <w:fldChar w:fldCharType="begin"/>
                </w:r>
                <w:r>
                  <w:rPr>
                    <w:noProof/>
                    <w:webHidden/>
                  </w:rPr>
                  <w:instrText xml:space="preserve"> PAGEREF _Toc226533959 \h </w:instrText>
                </w:r>
                <w:r>
                  <w:rPr>
                    <w:noProof/>
                    <w:webHidden/>
                  </w:rPr>
                </w:r>
                <w:r>
                  <w:rPr>
                    <w:noProof/>
                    <w:webHidden/>
                  </w:rPr>
                  <w:fldChar w:fldCharType="separate"/>
                </w:r>
                <w:r>
                  <w:rPr>
                    <w:noProof/>
                    <w:webHidden/>
                  </w:rPr>
                  <w:t>47</w:t>
                </w:r>
                <w:r>
                  <w:rPr>
                    <w:noProof/>
                    <w:webHidden/>
                  </w:rPr>
                  <w:fldChar w:fldCharType="end"/>
                </w:r>
              </w:hyperlink>
            </w:p>
            <w:p w14:paraId="6BC2414F" w14:textId="5F14C8FD" w:rsidR="006A671F" w:rsidRDefault="006A671F">
              <w:pPr>
                <w:pStyle w:val="TOC3"/>
                <w:tabs>
                  <w:tab w:val="left" w:pos="1440"/>
                  <w:tab w:val="right" w:leader="dot" w:pos="9350"/>
                </w:tabs>
                <w:rPr>
                  <w:rFonts w:asciiTheme="minorHAnsi" w:eastAsiaTheme="minorEastAsia" w:hAnsiTheme="minorHAnsi"/>
                  <w:noProof/>
                  <w:lang w:val="en-US"/>
                </w:rPr>
              </w:pPr>
              <w:hyperlink w:anchor="_Toc226533960" w:history="1">
                <w:r w:rsidRPr="005A3586">
                  <w:rPr>
                    <w:rStyle w:val="Hyperlink"/>
                    <w:rFonts w:eastAsia="Times New Roman"/>
                    <w:noProof/>
                  </w:rPr>
                  <w:t>4.2.4.</w:t>
                </w:r>
                <w:r>
                  <w:rPr>
                    <w:rFonts w:asciiTheme="minorHAnsi" w:eastAsiaTheme="minorEastAsia" w:hAnsiTheme="minorHAnsi"/>
                    <w:noProof/>
                    <w:lang w:val="en-US"/>
                  </w:rPr>
                  <w:tab/>
                </w:r>
                <w:r w:rsidRPr="005A3586">
                  <w:rPr>
                    <w:rStyle w:val="Hyperlink"/>
                    <w:rFonts w:eastAsia="Times New Roman"/>
                    <w:noProof/>
                  </w:rPr>
                  <w:t>Phase IV - Niche Capability Development</w:t>
                </w:r>
                <w:r>
                  <w:rPr>
                    <w:noProof/>
                    <w:webHidden/>
                  </w:rPr>
                  <w:tab/>
                </w:r>
                <w:r>
                  <w:rPr>
                    <w:noProof/>
                    <w:webHidden/>
                  </w:rPr>
                  <w:fldChar w:fldCharType="begin"/>
                </w:r>
                <w:r>
                  <w:rPr>
                    <w:noProof/>
                    <w:webHidden/>
                  </w:rPr>
                  <w:instrText xml:space="preserve"> PAGEREF _Toc226533960 \h </w:instrText>
                </w:r>
                <w:r>
                  <w:rPr>
                    <w:noProof/>
                    <w:webHidden/>
                  </w:rPr>
                </w:r>
                <w:r>
                  <w:rPr>
                    <w:noProof/>
                    <w:webHidden/>
                  </w:rPr>
                  <w:fldChar w:fldCharType="separate"/>
                </w:r>
                <w:r>
                  <w:rPr>
                    <w:noProof/>
                    <w:webHidden/>
                  </w:rPr>
                  <w:t>48</w:t>
                </w:r>
                <w:r>
                  <w:rPr>
                    <w:noProof/>
                    <w:webHidden/>
                  </w:rPr>
                  <w:fldChar w:fldCharType="end"/>
                </w:r>
              </w:hyperlink>
            </w:p>
            <w:p w14:paraId="16505D93" w14:textId="3E00E55A" w:rsidR="006A671F" w:rsidRDefault="006A671F">
              <w:pPr>
                <w:pStyle w:val="TOC2"/>
                <w:tabs>
                  <w:tab w:val="left" w:pos="960"/>
                  <w:tab w:val="right" w:leader="dot" w:pos="9350"/>
                </w:tabs>
                <w:rPr>
                  <w:rFonts w:asciiTheme="minorHAnsi" w:eastAsiaTheme="minorEastAsia" w:hAnsiTheme="minorHAnsi"/>
                  <w:noProof/>
                  <w:lang w:val="en-US"/>
                </w:rPr>
              </w:pPr>
              <w:hyperlink w:anchor="_Toc226533961" w:history="1">
                <w:r w:rsidRPr="005A3586">
                  <w:rPr>
                    <w:rStyle w:val="Hyperlink"/>
                    <w:rFonts w:eastAsia="Times New Roman"/>
                    <w:noProof/>
                  </w:rPr>
                  <w:t>4.3.</w:t>
                </w:r>
                <w:r>
                  <w:rPr>
                    <w:rFonts w:asciiTheme="minorHAnsi" w:eastAsiaTheme="minorEastAsia" w:hAnsiTheme="minorHAnsi"/>
                    <w:noProof/>
                    <w:lang w:val="en-US"/>
                  </w:rPr>
                  <w:tab/>
                </w:r>
                <w:r w:rsidRPr="005A3586">
                  <w:rPr>
                    <w:rStyle w:val="Hyperlink"/>
                    <w:rFonts w:eastAsia="Times New Roman"/>
                    <w:noProof/>
                  </w:rPr>
                  <w:t>Deterrence Framework</w:t>
                </w:r>
                <w:r>
                  <w:rPr>
                    <w:noProof/>
                    <w:webHidden/>
                  </w:rPr>
                  <w:tab/>
                </w:r>
                <w:r>
                  <w:rPr>
                    <w:noProof/>
                    <w:webHidden/>
                  </w:rPr>
                  <w:fldChar w:fldCharType="begin"/>
                </w:r>
                <w:r>
                  <w:rPr>
                    <w:noProof/>
                    <w:webHidden/>
                  </w:rPr>
                  <w:instrText xml:space="preserve"> PAGEREF _Toc226533961 \h </w:instrText>
                </w:r>
                <w:r>
                  <w:rPr>
                    <w:noProof/>
                    <w:webHidden/>
                  </w:rPr>
                </w:r>
                <w:r>
                  <w:rPr>
                    <w:noProof/>
                    <w:webHidden/>
                  </w:rPr>
                  <w:fldChar w:fldCharType="separate"/>
                </w:r>
                <w:r>
                  <w:rPr>
                    <w:noProof/>
                    <w:webHidden/>
                  </w:rPr>
                  <w:t>48</w:t>
                </w:r>
                <w:r>
                  <w:rPr>
                    <w:noProof/>
                    <w:webHidden/>
                  </w:rPr>
                  <w:fldChar w:fldCharType="end"/>
                </w:r>
              </w:hyperlink>
            </w:p>
            <w:p w14:paraId="24229D35" w14:textId="0E21B11E" w:rsidR="006A671F" w:rsidRDefault="006A671F">
              <w:pPr>
                <w:pStyle w:val="TOC3"/>
                <w:tabs>
                  <w:tab w:val="left" w:pos="1440"/>
                  <w:tab w:val="right" w:leader="dot" w:pos="9350"/>
                </w:tabs>
                <w:rPr>
                  <w:rFonts w:asciiTheme="minorHAnsi" w:eastAsiaTheme="minorEastAsia" w:hAnsiTheme="minorHAnsi"/>
                  <w:noProof/>
                  <w:lang w:val="en-US"/>
                </w:rPr>
              </w:pPr>
              <w:hyperlink w:anchor="_Toc226533962" w:history="1">
                <w:r w:rsidRPr="005A3586">
                  <w:rPr>
                    <w:rStyle w:val="Hyperlink"/>
                    <w:rFonts w:eastAsia="Times New Roman"/>
                    <w:noProof/>
                  </w:rPr>
                  <w:t>4.3.1.</w:t>
                </w:r>
                <w:r>
                  <w:rPr>
                    <w:rFonts w:asciiTheme="minorHAnsi" w:eastAsiaTheme="minorEastAsia" w:hAnsiTheme="minorHAnsi"/>
                    <w:noProof/>
                    <w:lang w:val="en-US"/>
                  </w:rPr>
                  <w:tab/>
                </w:r>
                <w:r w:rsidRPr="005A3586">
                  <w:rPr>
                    <w:rStyle w:val="Hyperlink"/>
                    <w:rFonts w:eastAsia="Times New Roman"/>
                    <w:noProof/>
                  </w:rPr>
                  <w:t>Alliance Entanglement</w:t>
                </w:r>
                <w:r>
                  <w:rPr>
                    <w:noProof/>
                    <w:webHidden/>
                  </w:rPr>
                  <w:tab/>
                </w:r>
                <w:r>
                  <w:rPr>
                    <w:noProof/>
                    <w:webHidden/>
                  </w:rPr>
                  <w:fldChar w:fldCharType="begin"/>
                </w:r>
                <w:r>
                  <w:rPr>
                    <w:noProof/>
                    <w:webHidden/>
                  </w:rPr>
                  <w:instrText xml:space="preserve"> PAGEREF _Toc226533962 \h </w:instrText>
                </w:r>
                <w:r>
                  <w:rPr>
                    <w:noProof/>
                    <w:webHidden/>
                  </w:rPr>
                </w:r>
                <w:r>
                  <w:rPr>
                    <w:noProof/>
                    <w:webHidden/>
                  </w:rPr>
                  <w:fldChar w:fldCharType="separate"/>
                </w:r>
                <w:r>
                  <w:rPr>
                    <w:noProof/>
                    <w:webHidden/>
                  </w:rPr>
                  <w:t>49</w:t>
                </w:r>
                <w:r>
                  <w:rPr>
                    <w:noProof/>
                    <w:webHidden/>
                  </w:rPr>
                  <w:fldChar w:fldCharType="end"/>
                </w:r>
              </w:hyperlink>
            </w:p>
            <w:p w14:paraId="5EF5B4B2" w14:textId="07DE3569" w:rsidR="006A671F" w:rsidRDefault="006A671F">
              <w:pPr>
                <w:pStyle w:val="TOC3"/>
                <w:tabs>
                  <w:tab w:val="left" w:pos="1440"/>
                  <w:tab w:val="right" w:leader="dot" w:pos="9350"/>
                </w:tabs>
                <w:rPr>
                  <w:rFonts w:asciiTheme="minorHAnsi" w:eastAsiaTheme="minorEastAsia" w:hAnsiTheme="minorHAnsi"/>
                  <w:noProof/>
                  <w:lang w:val="en-US"/>
                </w:rPr>
              </w:pPr>
              <w:hyperlink w:anchor="_Toc226533963" w:history="1">
                <w:r w:rsidRPr="005A3586">
                  <w:rPr>
                    <w:rStyle w:val="Hyperlink"/>
                    <w:rFonts w:eastAsia="Times New Roman"/>
                    <w:noProof/>
                  </w:rPr>
                  <w:t>4.3.2.</w:t>
                </w:r>
                <w:r>
                  <w:rPr>
                    <w:rFonts w:asciiTheme="minorHAnsi" w:eastAsiaTheme="minorEastAsia" w:hAnsiTheme="minorHAnsi"/>
                    <w:noProof/>
                    <w:lang w:val="en-US"/>
                  </w:rPr>
                  <w:tab/>
                </w:r>
                <w:r w:rsidRPr="005A3586">
                  <w:rPr>
                    <w:rStyle w:val="Hyperlink"/>
                    <w:rFonts w:eastAsia="Times New Roman"/>
                    <w:noProof/>
                  </w:rPr>
                  <w:t>Economic Consequence for Disruption</w:t>
                </w:r>
                <w:r>
                  <w:rPr>
                    <w:noProof/>
                    <w:webHidden/>
                  </w:rPr>
                  <w:tab/>
                </w:r>
                <w:r>
                  <w:rPr>
                    <w:noProof/>
                    <w:webHidden/>
                  </w:rPr>
                  <w:fldChar w:fldCharType="begin"/>
                </w:r>
                <w:r>
                  <w:rPr>
                    <w:noProof/>
                    <w:webHidden/>
                  </w:rPr>
                  <w:instrText xml:space="preserve"> PAGEREF _Toc226533963 \h </w:instrText>
                </w:r>
                <w:r>
                  <w:rPr>
                    <w:noProof/>
                    <w:webHidden/>
                  </w:rPr>
                </w:r>
                <w:r>
                  <w:rPr>
                    <w:noProof/>
                    <w:webHidden/>
                  </w:rPr>
                  <w:fldChar w:fldCharType="separate"/>
                </w:r>
                <w:r>
                  <w:rPr>
                    <w:noProof/>
                    <w:webHidden/>
                  </w:rPr>
                  <w:t>50</w:t>
                </w:r>
                <w:r>
                  <w:rPr>
                    <w:noProof/>
                    <w:webHidden/>
                  </w:rPr>
                  <w:fldChar w:fldCharType="end"/>
                </w:r>
              </w:hyperlink>
            </w:p>
            <w:p w14:paraId="13220495" w14:textId="70696E01" w:rsidR="006A671F" w:rsidRDefault="006A671F">
              <w:pPr>
                <w:pStyle w:val="TOC3"/>
                <w:tabs>
                  <w:tab w:val="left" w:pos="1440"/>
                  <w:tab w:val="right" w:leader="dot" w:pos="9350"/>
                </w:tabs>
                <w:rPr>
                  <w:rFonts w:asciiTheme="minorHAnsi" w:eastAsiaTheme="minorEastAsia" w:hAnsiTheme="minorHAnsi"/>
                  <w:noProof/>
                  <w:lang w:val="en-US"/>
                </w:rPr>
              </w:pPr>
              <w:hyperlink w:anchor="_Toc226533964" w:history="1">
                <w:r w:rsidRPr="005A3586">
                  <w:rPr>
                    <w:rStyle w:val="Hyperlink"/>
                    <w:rFonts w:eastAsia="Times New Roman"/>
                    <w:noProof/>
                  </w:rPr>
                  <w:t>4.3.3.</w:t>
                </w:r>
                <w:r>
                  <w:rPr>
                    <w:rFonts w:asciiTheme="minorHAnsi" w:eastAsiaTheme="minorEastAsia" w:hAnsiTheme="minorHAnsi"/>
                    <w:noProof/>
                    <w:lang w:val="en-US"/>
                  </w:rPr>
                  <w:tab/>
                </w:r>
                <w:r w:rsidRPr="005A3586">
                  <w:rPr>
                    <w:rStyle w:val="Hyperlink"/>
                    <w:rFonts w:eastAsia="Times New Roman"/>
                    <w:noProof/>
                  </w:rPr>
                  <w:t>Visibility of Interference</w:t>
                </w:r>
                <w:r>
                  <w:rPr>
                    <w:noProof/>
                    <w:webHidden/>
                  </w:rPr>
                  <w:tab/>
                </w:r>
                <w:r>
                  <w:rPr>
                    <w:noProof/>
                    <w:webHidden/>
                  </w:rPr>
                  <w:fldChar w:fldCharType="begin"/>
                </w:r>
                <w:r>
                  <w:rPr>
                    <w:noProof/>
                    <w:webHidden/>
                  </w:rPr>
                  <w:instrText xml:space="preserve"> PAGEREF _Toc226533964 \h </w:instrText>
                </w:r>
                <w:r>
                  <w:rPr>
                    <w:noProof/>
                    <w:webHidden/>
                  </w:rPr>
                </w:r>
                <w:r>
                  <w:rPr>
                    <w:noProof/>
                    <w:webHidden/>
                  </w:rPr>
                  <w:fldChar w:fldCharType="separate"/>
                </w:r>
                <w:r>
                  <w:rPr>
                    <w:noProof/>
                    <w:webHidden/>
                  </w:rPr>
                  <w:t>51</w:t>
                </w:r>
                <w:r>
                  <w:rPr>
                    <w:noProof/>
                    <w:webHidden/>
                  </w:rPr>
                  <w:fldChar w:fldCharType="end"/>
                </w:r>
              </w:hyperlink>
            </w:p>
            <w:p w14:paraId="1B167B88" w14:textId="0A156042" w:rsidR="006A671F" w:rsidRDefault="006A671F">
              <w:pPr>
                <w:pStyle w:val="TOC3"/>
                <w:tabs>
                  <w:tab w:val="left" w:pos="1440"/>
                  <w:tab w:val="right" w:leader="dot" w:pos="9350"/>
                </w:tabs>
                <w:rPr>
                  <w:rFonts w:asciiTheme="minorHAnsi" w:eastAsiaTheme="minorEastAsia" w:hAnsiTheme="minorHAnsi"/>
                  <w:noProof/>
                  <w:lang w:val="en-US"/>
                </w:rPr>
              </w:pPr>
              <w:hyperlink w:anchor="_Toc226533965" w:history="1">
                <w:r w:rsidRPr="005A3586">
                  <w:rPr>
                    <w:rStyle w:val="Hyperlink"/>
                    <w:rFonts w:eastAsia="Times New Roman"/>
                    <w:noProof/>
                  </w:rPr>
                  <w:t>4.3.4.</w:t>
                </w:r>
                <w:r>
                  <w:rPr>
                    <w:rFonts w:asciiTheme="minorHAnsi" w:eastAsiaTheme="minorEastAsia" w:hAnsiTheme="minorHAnsi"/>
                    <w:noProof/>
                    <w:lang w:val="en-US"/>
                  </w:rPr>
                  <w:tab/>
                </w:r>
                <w:r w:rsidRPr="005A3586">
                  <w:rPr>
                    <w:rStyle w:val="Hyperlink"/>
                    <w:rFonts w:eastAsia="Times New Roman"/>
                    <w:noProof/>
                  </w:rPr>
                  <w:t>Resilience that Denies Easy Coercion</w:t>
                </w:r>
                <w:r>
                  <w:rPr>
                    <w:noProof/>
                    <w:webHidden/>
                  </w:rPr>
                  <w:tab/>
                </w:r>
                <w:r>
                  <w:rPr>
                    <w:noProof/>
                    <w:webHidden/>
                  </w:rPr>
                  <w:fldChar w:fldCharType="begin"/>
                </w:r>
                <w:r>
                  <w:rPr>
                    <w:noProof/>
                    <w:webHidden/>
                  </w:rPr>
                  <w:instrText xml:space="preserve"> PAGEREF _Toc226533965 \h </w:instrText>
                </w:r>
                <w:r>
                  <w:rPr>
                    <w:noProof/>
                    <w:webHidden/>
                  </w:rPr>
                </w:r>
                <w:r>
                  <w:rPr>
                    <w:noProof/>
                    <w:webHidden/>
                  </w:rPr>
                  <w:fldChar w:fldCharType="separate"/>
                </w:r>
                <w:r>
                  <w:rPr>
                    <w:noProof/>
                    <w:webHidden/>
                  </w:rPr>
                  <w:t>51</w:t>
                </w:r>
                <w:r>
                  <w:rPr>
                    <w:noProof/>
                    <w:webHidden/>
                  </w:rPr>
                  <w:fldChar w:fldCharType="end"/>
                </w:r>
              </w:hyperlink>
            </w:p>
            <w:p w14:paraId="488DDB1C" w14:textId="20DDFDDF" w:rsidR="006A671F" w:rsidRDefault="006A671F">
              <w:pPr>
                <w:pStyle w:val="TOC1"/>
                <w:tabs>
                  <w:tab w:val="left" w:pos="480"/>
                  <w:tab w:val="right" w:leader="dot" w:pos="9350"/>
                </w:tabs>
                <w:rPr>
                  <w:rFonts w:asciiTheme="minorHAnsi" w:eastAsiaTheme="minorEastAsia" w:hAnsiTheme="minorHAnsi"/>
                  <w:noProof/>
                  <w:lang w:val="en-US"/>
                </w:rPr>
              </w:pPr>
              <w:hyperlink w:anchor="_Toc226533966" w:history="1">
                <w:r w:rsidRPr="005A3586">
                  <w:rPr>
                    <w:rStyle w:val="Hyperlink"/>
                    <w:rFonts w:eastAsia="Times New Roman"/>
                    <w:noProof/>
                  </w:rPr>
                  <w:t>5.</w:t>
                </w:r>
                <w:r>
                  <w:rPr>
                    <w:rFonts w:asciiTheme="minorHAnsi" w:eastAsiaTheme="minorEastAsia" w:hAnsiTheme="minorHAnsi"/>
                    <w:noProof/>
                    <w:lang w:val="en-US"/>
                  </w:rPr>
                  <w:tab/>
                </w:r>
                <w:r w:rsidRPr="005A3586">
                  <w:rPr>
                    <w:rStyle w:val="Hyperlink"/>
                    <w:rFonts w:eastAsia="Times New Roman"/>
                    <w:noProof/>
                  </w:rPr>
                  <w:t>CONCLUSION</w:t>
                </w:r>
                <w:r>
                  <w:rPr>
                    <w:noProof/>
                    <w:webHidden/>
                  </w:rPr>
                  <w:tab/>
                </w:r>
                <w:r>
                  <w:rPr>
                    <w:noProof/>
                    <w:webHidden/>
                  </w:rPr>
                  <w:fldChar w:fldCharType="begin"/>
                </w:r>
                <w:r>
                  <w:rPr>
                    <w:noProof/>
                    <w:webHidden/>
                  </w:rPr>
                  <w:instrText xml:space="preserve"> PAGEREF _Toc226533966 \h </w:instrText>
                </w:r>
                <w:r>
                  <w:rPr>
                    <w:noProof/>
                    <w:webHidden/>
                  </w:rPr>
                </w:r>
                <w:r>
                  <w:rPr>
                    <w:noProof/>
                    <w:webHidden/>
                  </w:rPr>
                  <w:fldChar w:fldCharType="separate"/>
                </w:r>
                <w:r>
                  <w:rPr>
                    <w:noProof/>
                    <w:webHidden/>
                  </w:rPr>
                  <w:t>54</w:t>
                </w:r>
                <w:r>
                  <w:rPr>
                    <w:noProof/>
                    <w:webHidden/>
                  </w:rPr>
                  <w:fldChar w:fldCharType="end"/>
                </w:r>
              </w:hyperlink>
            </w:p>
            <w:p w14:paraId="458545E9" w14:textId="051B9EB0" w:rsidR="00B63E67" w:rsidRPr="000E0C5F" w:rsidRDefault="00B63E67">
              <w:r>
                <w:rPr>
                  <w:b/>
                  <w:bCs/>
                </w:rPr>
                <w:fldChar w:fldCharType="end"/>
              </w:r>
            </w:p>
          </w:sdtContent>
        </w:sdt>
        <w:p w14:paraId="3684733C" w14:textId="515BC369" w:rsidR="002E54E8" w:rsidRPr="000E0C5F" w:rsidRDefault="002E54E8" w:rsidP="00B63E67">
          <w:pPr>
            <w:pStyle w:val="NoSpacing"/>
            <w:spacing w:before="1540" w:after="240"/>
            <w:rPr>
              <w:rFonts w:cs="Times New Roman"/>
              <w:lang w:val="en-IE"/>
            </w:rPr>
            <w:sectPr w:rsidR="002E54E8" w:rsidRPr="000E0C5F" w:rsidSect="002E54E8">
              <w:footerReference w:type="default" r:id="rId8"/>
              <w:footerReference w:type="first" r:id="rId9"/>
              <w:endnotePr>
                <w:numFmt w:val="decimal"/>
              </w:endnotePr>
              <w:pgSz w:w="12240" w:h="15840"/>
              <w:pgMar w:top="1440" w:right="1440" w:bottom="1440" w:left="1440" w:header="720" w:footer="720" w:gutter="0"/>
              <w:pgNumType w:fmt="lowerRoman" w:start="0"/>
              <w:cols w:space="720"/>
              <w:titlePg/>
              <w:docGrid w:linePitch="360"/>
            </w:sectPr>
          </w:pPr>
          <w:r>
            <w:rPr>
              <w:rFonts w:cs="Times New Roman"/>
              <w:lang w:val="en-IE"/>
            </w:rPr>
            <w:br w:type="page"/>
          </w:r>
        </w:p>
      </w:sdtContent>
    </w:sdt>
    <w:p w14:paraId="1A000029" w14:textId="64547176" w:rsidR="00E266AA" w:rsidRPr="000E0C5F" w:rsidRDefault="00E266AA"/>
    <w:p w14:paraId="5CD0A66C" w14:textId="5C32B929" w:rsidR="00164327" w:rsidRPr="000E0C5F" w:rsidRDefault="005D22F1">
      <w:pPr>
        <w:pStyle w:val="Heading1"/>
        <w:numPr>
          <w:ilvl w:val="0"/>
          <w:numId w:val="3"/>
        </w:numPr>
      </w:pPr>
      <w:bookmarkStart w:id="4" w:name="_Toc226533922"/>
      <w:r>
        <w:t>INTRODUCTION</w:t>
      </w:r>
      <w:bookmarkEnd w:id="4"/>
    </w:p>
    <w:p w14:paraId="762392EB" w14:textId="637D80CF" w:rsidR="00D125BF" w:rsidRPr="000E0C5F" w:rsidRDefault="00D125BF" w:rsidP="00D125BF">
      <w:r>
        <w:t>In the early hours of 24 February 2022, as Russian forces crossed the Ukrainian border, a cyberattack struck the Viasat satellite network and severed communications across Europe, not as collateral damage, but as a deliberate opening move. Within hours, the space domain had become a battleground. For small states like Ireland, this was not a distant geopolitical event; it was a direct demonstration of how quickly space-enabled infrastructure can be weaponized against any nation that depends on it. Isaac Newton wrote that progress advances by “standing on the shoulders of giants,”</w:t>
      </w:r>
      <w:r>
        <w:rPr>
          <w:rStyle w:val="EndnoteReference"/>
        </w:rPr>
        <w:endnoteReference w:id="1"/>
      </w:r>
      <w:r>
        <w:t xml:space="preserve"> and so too must emerging space powers: not by attempting to match great-power investment, but by building strategically on the capabilities, alliances, and frameworks that more advanced actors have already established. For small states, assuming sovereign space security responsibilities can seem an impossible task. Space is vast, the technology cutting-edge, the costs prohibitive, and the doctrine still emerging. Yet hesitation is no longer an option: space has become essential to the strategic autonomy of every state, underpinning modern economies, public services, national policy, and defence. While major powers have long recognized the risks to these systems, including anti-satellite weapons, GPS jamming, and cyberattacks on satellite ground infrastructure, smaller powers are only now fully grasping how rapidly these threats are materializing.</w:t>
      </w:r>
    </w:p>
    <w:p w14:paraId="07186D98" w14:textId="22703A55" w:rsidR="00D125BF" w:rsidRPr="000E0C5F" w:rsidRDefault="00D125BF" w:rsidP="00D125BF">
      <w:pPr>
        <w:ind w:firstLine="360"/>
      </w:pPr>
      <w:r>
        <w:t xml:space="preserve">The threat is immediate and demonstrable: persistent GPS jamming now routinely degrades navigation across the Baltic and Eastern Mediterranean, and sophisticated counterspace capabilities threaten the satellite infrastructure upon which Ireland’s open, digitally intensive economy depends. These are not distant threats, they are active, recurring, and directly relevant to Ireland’s critical infrastructure dependencies. The central challenge this paper addresses is the </w:t>
      </w:r>
      <w:r>
        <w:lastRenderedPageBreak/>
        <w:t>absence of a viable space security model tailored to small states that operate with constrained resources. This paper argues that Ireland can achieve a credible space security posture not through sovereign capability development, but through a strategy of intelligent integration, combining institutional reform, cooperative alliances, commercial outsourcing, selective niche capability development, and layered resilience, thereby converting limited means into disproportionate strategic effect. While the Irish Defence Forces (IDF) are mandated to develop space domain capabilities and deter threats across multi-domain environments, this paper argues they must prioritize the most effective and cost-efficient mix of capabilities within available resources.</w:t>
      </w:r>
      <w:r>
        <w:rPr>
          <w:rStyle w:val="EndnoteReference"/>
        </w:rPr>
        <w:endnoteReference w:id="2"/>
      </w:r>
    </w:p>
    <w:p w14:paraId="54DE02AF" w14:textId="0641FE31" w:rsidR="00D125BF" w:rsidRPr="000E0C5F" w:rsidRDefault="00D125BF" w:rsidP="00D125BF">
      <w:pPr>
        <w:ind w:firstLine="360"/>
      </w:pPr>
      <w:r>
        <w:t>This research seeks to define a strategy for effective space security outside the large-scale investment models of major spacefaring nations. It does so by analysing theoretical frameworks most suitable for small, resource-constrained states. These frameworks inform the strategic imperatives to be addressed, which are then developed using Ireland as a case study. Finally, these imperatives are synthesized into a blueprint applicable to other emerging space powers. Before proposing such a strategy, it is necessary first to understand the key features of the space domain and the contemporary security environment underpinning this requirement.</w:t>
      </w:r>
    </w:p>
    <w:p w14:paraId="3A7DEF62" w14:textId="65985923" w:rsidR="00826CBF" w:rsidRPr="000E0C5F" w:rsidRDefault="005D22F1">
      <w:pPr>
        <w:pStyle w:val="Heading2"/>
        <w:numPr>
          <w:ilvl w:val="1"/>
          <w:numId w:val="1"/>
        </w:numPr>
        <w:rPr>
          <w:b/>
          <w:bCs/>
        </w:rPr>
      </w:pPr>
      <w:bookmarkStart w:id="5" w:name="_Toc226533923"/>
      <w:r>
        <w:t>The Space Domain</w:t>
      </w:r>
      <w:bookmarkEnd w:id="5"/>
    </w:p>
    <w:p w14:paraId="52D9FB68" w14:textId="0ED7AD79" w:rsidR="003C369A" w:rsidRPr="000E0C5F" w:rsidRDefault="003C369A">
      <w:pPr>
        <w:pStyle w:val="Heading3"/>
        <w:numPr>
          <w:ilvl w:val="2"/>
          <w:numId w:val="1"/>
        </w:numPr>
        <w:rPr>
          <w:b/>
          <w:bCs/>
        </w:rPr>
      </w:pPr>
      <w:bookmarkStart w:id="6" w:name="_Toc226533924"/>
      <w:r>
        <w:t>The Character of a Contested Domain</w:t>
      </w:r>
      <w:bookmarkEnd w:id="6"/>
    </w:p>
    <w:p w14:paraId="6D178F0D" w14:textId="6355AD16" w:rsidR="003C369A" w:rsidRPr="000E0C5F" w:rsidRDefault="003C369A" w:rsidP="00C842E1">
      <w:r>
        <w:t>Understanding why space security demands urgent attention requires grasping what makes the domain uniquely dangerous: it is simultaneously congested, complex, and contested, creating compounding vulnerabilities for any state that depends on it. Space is commonly considered to begin at the Kármán Line, approximately 100 kilometres above sea level.</w:t>
      </w:r>
      <w:r>
        <w:rPr>
          <w:rStyle w:val="EndnoteReference"/>
        </w:rPr>
        <w:endnoteReference w:id="3"/>
      </w:r>
      <w:r>
        <w:t xml:space="preserve"> NATO formally recognized space as an operational domain in 2019.</w:t>
      </w:r>
      <w:r>
        <w:rPr>
          <w:rStyle w:val="EndnoteReference"/>
        </w:rPr>
        <w:endnoteReference w:id="4"/>
      </w:r>
      <w:r>
        <w:t xml:space="preserve"> The character of conflict, while enduring in </w:t>
      </w:r>
      <w:r>
        <w:lastRenderedPageBreak/>
        <w:t>nature, changes due to factors such as technological, economic, and political context.</w:t>
      </w:r>
      <w:r>
        <w:rPr>
          <w:rStyle w:val="EndnoteReference"/>
        </w:rPr>
        <w:endnoteReference w:id="5"/>
      </w:r>
      <w:r>
        <w:t xml:space="preserve"> Space warfare’s character will differ from conflict in other domains, requiring its own context and lexicon for practical understanding and implementation. The contemporary space environment is described by three defining characteristics: congested, complex, and contested.</w:t>
      </w:r>
      <w:r>
        <w:rPr>
          <w:rStyle w:val="EndnoteReference"/>
        </w:rPr>
        <w:endnoteReference w:id="6"/>
      </w:r>
    </w:p>
    <w:p w14:paraId="3BD7E5C7" w14:textId="36593548" w:rsidR="003C369A" w:rsidRPr="000E0C5F" w:rsidRDefault="003C369A" w:rsidP="003C369A">
      <w:pPr>
        <w:ind w:firstLine="720"/>
      </w:pPr>
      <w:r>
        <w:t xml:space="preserve">Congested: The domain is congested by the exponential increase of objects in orbit, with the number of satellites growing significantly. This congestion creates increasing challenges for space traffic control. </w:t>
      </w:r>
    </w:p>
    <w:p w14:paraId="6496C71A" w14:textId="40BFC6AB" w:rsidR="003C369A" w:rsidRPr="000E0C5F" w:rsidRDefault="003C369A" w:rsidP="003C369A">
      <w:pPr>
        <w:ind w:firstLine="720"/>
      </w:pPr>
      <w:r>
        <w:t>Complex: Space operations are made complex by blurred ownership and the challenges involved in ascertaining the true function of satellites. The space domain includes the outer space environment, various orbits, spacecraft, ground and launch infrastructure, radio frequency links, user terminals, and cyberspace elements, as well as the underlying industrial space sector.</w:t>
      </w:r>
    </w:p>
    <w:p w14:paraId="0761190D" w14:textId="1CDE446A" w:rsidR="003C369A" w:rsidRPr="000E0C5F" w:rsidRDefault="003C369A" w:rsidP="003C369A">
      <w:pPr>
        <w:ind w:firstLine="720"/>
      </w:pPr>
      <w:r>
        <w:t>Contested: The space environment is increasingly contested due to the return to systemic competition between states as evidenced when NATO recently announced that Space is a warfighting domain.</w:t>
      </w:r>
      <w:r>
        <w:rPr>
          <w:rStyle w:val="EndnoteReference"/>
        </w:rPr>
        <w:endnoteReference w:id="7"/>
      </w:r>
      <w:r>
        <w:t xml:space="preserve"> Technologically advanced states are heavily dependent on space-based assets, making the ability to defend or destroy these assets a key national security concern.</w:t>
      </w:r>
    </w:p>
    <w:p w14:paraId="3C762E8F" w14:textId="29CCC4C8" w:rsidR="005D22F1" w:rsidRPr="000E0C5F" w:rsidRDefault="00C36A57">
      <w:pPr>
        <w:pStyle w:val="Heading3"/>
        <w:numPr>
          <w:ilvl w:val="2"/>
          <w:numId w:val="1"/>
        </w:numPr>
      </w:pPr>
      <w:bookmarkStart w:id="7" w:name="_Toc226533925"/>
      <w:r>
        <w:t>Space Threat Landscape</w:t>
      </w:r>
      <w:bookmarkEnd w:id="7"/>
    </w:p>
    <w:p w14:paraId="4B6EECE9" w14:textId="47FF6CBE" w:rsidR="005D22F1" w:rsidRPr="000E0C5F" w:rsidRDefault="00791BB9" w:rsidP="00C842E1">
      <w:r>
        <w:t xml:space="preserve">Ireland cannot afford to treat counterspace capabilities as a great-power concern: multiple space powers are now deploying these tools as instruments of coercion against any state that depends on space-enabled infrastructure. Broadly defined, counterspace capabilities are employed to demonstrate strategic strength, deter competitors, deny access to space services, or gain an information advantage. These capabilities can target satellites in orbit, the ground segment that supports them, and the data links connecting the two. Their effects range from degrading, disrupting, denying, deceiving, or destroying space systems to conducting non-kinetic </w:t>
      </w:r>
      <w:r>
        <w:lastRenderedPageBreak/>
        <w:t>intelligence activities such as inspecting spacecraft, intercepting, or eavesdropping on transmissions, and manipulating data. Counterspace actions can also be used to constrain freedom of movement in the space domain, an increasingly important dimension of strategic competition.</w:t>
      </w:r>
      <w:r>
        <w:rPr>
          <w:rStyle w:val="EndnoteReference"/>
        </w:rPr>
        <w:endnoteReference w:id="8"/>
      </w:r>
      <w:r>
        <w:t xml:space="preserve"> Counterspace measures can be divided into two broad categories: kinetic and non-kinetic. Kinetic threats include weapons directed at space infrastructure, such as anti-satellite (ASAT) missiles, co-orbital interceptors, or attacks on ground stations, all of which can result in permanent and destructive effects. Non-kinetic threats include direct-energy attacks, signal spoofing, jamming, and cyber operations against space-based or ground-based systems. These threats have moved from theoretical to demonstrably real. The European Union Aviation Safety Agency (EASA) reports a significant rise in GNSS interference since February 2022, and the EU has highlighted attacks such as the February 2022 cyberattack on SATCOM services and Russia’s ASAT missile test the same year, which created hazardous debris.</w:t>
      </w:r>
      <w:r>
        <w:rPr>
          <w:rStyle w:val="EndnoteReference"/>
        </w:rPr>
        <w:endnoteReference w:id="9"/>
      </w:r>
      <w:r>
        <w:t xml:space="preserve">  Such incidents underline that Ireland, like all small states, can no longer afford to ignore the security and defence implications of the space domain. Counterspace activities fit seamlessly into hybrid strategies aimed at coercion, destabilisation, and economic disruption, making awareness and mitigation essential for national resilience.</w:t>
      </w:r>
    </w:p>
    <w:p w14:paraId="690E22A9" w14:textId="5B9476E7" w:rsidR="00BE1C61" w:rsidRPr="000E0C5F" w:rsidRDefault="00925AB1" w:rsidP="009718EC">
      <w:pPr>
        <w:ind w:firstLine="720"/>
      </w:pPr>
      <w:r>
        <w:t>The issue of space debris is crucial, driven by the exponential increase in spacefaring activities, including the proliferation of large commercial satellite constellations, and events such as Anti-satellite (ASAT) weapons tests</w:t>
      </w:r>
      <w:r>
        <w:rPr>
          <w:rStyle w:val="EndnoteReference"/>
        </w:rPr>
        <w:endnoteReference w:id="10"/>
      </w:r>
      <w:r>
        <w:t>. Current data, based on European Space Agency estimates, indicates that approximately 36,500 space debris objects greater than 10</w:t>
      </w:r>
      <w:r>
        <w:rPr>
          <w:b/>
          <w:bCs/>
        </w:rPr>
        <w:t xml:space="preserve"> </w:t>
      </w:r>
      <w:r>
        <w:t>centimetres are tracked, but the debris environment is populated by millions of pieces, with estimates suggesting around 130 million objects greater than 1 millimetre.</w:t>
      </w:r>
      <w:r>
        <w:rPr>
          <w:rStyle w:val="EndnoteReference"/>
        </w:rPr>
        <w:endnoteReference w:id="11"/>
      </w:r>
      <w:r>
        <w:t xml:space="preserve"> Given that even small debris travels at hyper-velocities up to 15 kilometres per second, this debris field poses </w:t>
      </w:r>
      <w:r>
        <w:lastRenderedPageBreak/>
        <w:t>a significant threat to the free access to and use of space.</w:t>
      </w:r>
      <w:r>
        <w:rPr>
          <w:rStyle w:val="EndnoteReference"/>
        </w:rPr>
        <w:endnoteReference w:id="12"/>
      </w:r>
      <w:r>
        <w:t xml:space="preserve"> If fragmentation continues, it could lead to exponential growth patterns and severely restrict the use of highly utilized orbital regions, risking a "tragedy of the commons".</w:t>
      </w:r>
      <w:r>
        <w:rPr>
          <w:rStyle w:val="EndnoteReference"/>
        </w:rPr>
        <w:endnoteReference w:id="13"/>
      </w:r>
      <w:r>
        <w:t xml:space="preserve"> Ireland, whose critical infrastructure relies heavily on space, must therefore</w:t>
      </w:r>
      <w:r>
        <w:rPr>
          <w:rStyle w:val="EndnoteReference"/>
        </w:rPr>
        <w:endnoteReference w:id="14"/>
      </w:r>
      <w:r>
        <w:t xml:space="preserve"> prioritize international cooperation and partnerships within the EU to advance measures that ensure resilience and safety. This involves contributing to the EU Space Surveillance and Tracking (EU SST) Partnership for enhanced Space Situational Awareness (SSA) capabilities,</w:t>
      </w:r>
      <w:r>
        <w:rPr>
          <w:rStyle w:val="EndnoteReference"/>
        </w:rPr>
        <w:endnoteReference w:id="15"/>
      </w:r>
      <w:r>
        <w:t xml:space="preserve"> supporting the EU’s approach to Space Traffic Management (STM) and backing the proposed EU Space Law to codify rules on collision avoidance measures and debris mitigation.</w:t>
      </w:r>
      <w:r>
        <w:rPr>
          <w:rStyle w:val="EndnoteReference"/>
        </w:rPr>
        <w:endnoteReference w:id="16"/>
      </w:r>
      <w:r>
        <w:t xml:space="preserve"> </w:t>
      </w:r>
    </w:p>
    <w:p w14:paraId="63BD7A3C" w14:textId="635EE6B8" w:rsidR="009718EC" w:rsidRPr="000E0C5F" w:rsidRDefault="009718EC" w:rsidP="009718EC">
      <w:pPr>
        <w:ind w:firstLine="720"/>
      </w:pPr>
      <w:r>
        <w:t>Space weather constitutes a significant natural space threat to space systems across the ground, space, and link segments, driven fundamentally by solar activity and the continuous stream of charged particles (protons and electrons) known as the solar wind. This solar activity generates high-energy radiation, including X-rays and gamma rays, and concentrates particles to form the Van Allen radiation belts that encircle the Earth's magnetosphere, presenting the most dangerous aspect of the space environment for spacecraft.</w:t>
      </w:r>
      <w:r>
        <w:rPr>
          <w:rStyle w:val="EndnoteReference"/>
        </w:rPr>
        <w:endnoteReference w:id="17"/>
      </w:r>
      <w:r>
        <w:t xml:space="preserve"> These particles and radiation physically harm satellites by degrading materials with atomic oxygen, causing cumulative internal damage (Total Dose Effects) to semiconductors, leading to functional errors such as a Single-Event Upset (SEU) in computer memory, and triggering spacecraft charging that can permanently damage electronics.</w:t>
      </w:r>
      <w:r>
        <w:rPr>
          <w:rStyle w:val="EndnoteReference"/>
        </w:rPr>
        <w:endnoteReference w:id="18"/>
      </w:r>
      <w:r>
        <w:t xml:space="preserve"> Furthermore, Space Weather Events (SWE) directly affect operations on Earth by causing disruptions to communications and navigation assets, impacting the reliability of critical systems like GPS and SATCOM, leading to effects like incoherence in navigation position and the inability to use GNSS for navigation.</w:t>
      </w:r>
      <w:r>
        <w:rPr>
          <w:rStyle w:val="EndnoteReference"/>
        </w:rPr>
        <w:endnoteReference w:id="19"/>
      </w:r>
      <w:r>
        <w:t xml:space="preserve"> Consequently, robust military space operations require hardening and shielding against these effects, and internal expertise in </w:t>
      </w:r>
      <w:r>
        <w:lastRenderedPageBreak/>
        <w:t>space weather is vital for distinguishing natural communication breakdowns from deliberate adversarial disruption or jamming.</w:t>
      </w:r>
      <w:r>
        <w:rPr>
          <w:rStyle w:val="EndnoteReference"/>
        </w:rPr>
        <w:endnoteReference w:id="20"/>
      </w:r>
      <w:r>
        <w:t xml:space="preserve"> </w:t>
      </w:r>
    </w:p>
    <w:p w14:paraId="4969F58B" w14:textId="555F9520" w:rsidR="005D22F1" w:rsidRPr="000E0C5F" w:rsidRDefault="00B96F86">
      <w:pPr>
        <w:pStyle w:val="Heading3"/>
        <w:numPr>
          <w:ilvl w:val="2"/>
          <w:numId w:val="1"/>
        </w:numPr>
      </w:pPr>
      <w:bookmarkStart w:id="8" w:name="_Toc226533926"/>
      <w:r>
        <w:t>Dual-use nature of space capabilities</w:t>
      </w:r>
      <w:bookmarkEnd w:id="8"/>
    </w:p>
    <w:p w14:paraId="475054B4" w14:textId="2FA67CA2" w:rsidR="003C369A" w:rsidRPr="000E0C5F" w:rsidRDefault="00B96F86" w:rsidP="00C842E1">
      <w:r>
        <w:t>Operating in the space domain requires not only broad industrial expertise, materials, and manufacturing, but also geographical suitability for launch capability, and other ground-based infrastructure. This means that it is not practical for most states to operate in isolation in the Space Domain, instead relying on public and private partners to develop capability. Space offers a unique opportunity in that due to the nature of space services, they generally have both civilian and military uses. In alignment with Ireland’s standing that space is a “global commons, free for exploration and use by all states,”</w:t>
      </w:r>
      <w:r>
        <w:rPr>
          <w:rStyle w:val="EndnoteReference"/>
        </w:rPr>
        <w:endnoteReference w:id="21"/>
      </w:r>
      <w:r>
        <w:t xml:space="preserve"> space capabilities can be focused on the civilian element of dual usability to navigate sensitivities around militaristic projects. Additionally, existing civilian technologies can be leveraged to increase the strategic autonomy of Ireland in relation to security and defence in the space domain. Encouraging indigenous space industries will help develop autonomy not only in the civilian sector but can feed into the security and defence sector.</w:t>
      </w:r>
    </w:p>
    <w:p w14:paraId="6F7ED8A2" w14:textId="5BA1A112" w:rsidR="00826CBF" w:rsidRPr="000E0C5F" w:rsidRDefault="00D0623F">
      <w:pPr>
        <w:pStyle w:val="Heading2"/>
        <w:numPr>
          <w:ilvl w:val="1"/>
          <w:numId w:val="1"/>
        </w:numPr>
      </w:pPr>
      <w:bookmarkStart w:id="9" w:name="_Toc226533927"/>
      <w:r>
        <w:t>The Core Strategic Imperatives</w:t>
      </w:r>
      <w:bookmarkEnd w:id="9"/>
    </w:p>
    <w:p w14:paraId="3B4401A7" w14:textId="6720C6FD" w:rsidR="003C369A" w:rsidRPr="000E0C5F" w:rsidRDefault="003C369A">
      <w:pPr>
        <w:pStyle w:val="Heading3"/>
        <w:numPr>
          <w:ilvl w:val="2"/>
          <w:numId w:val="1"/>
        </w:numPr>
      </w:pPr>
      <w:bookmarkStart w:id="10" w:name="_Toc226533928"/>
      <w:r>
        <w:t>Celestial Lines of Communication (CLOCs)</w:t>
      </w:r>
      <w:bookmarkEnd w:id="10"/>
    </w:p>
    <w:p w14:paraId="036A1F2B" w14:textId="47D3D393" w:rsidR="000045FC" w:rsidRPr="000E0C5F" w:rsidRDefault="000045FC" w:rsidP="000045FC">
      <w:r>
        <w:t>The fundamental purpose of space strategy is to ensure access to and use of space, which major space powers consider a vital national interest. This crucial objective is enabled through Celestial Lines of Communication (CLOCs). CLOCs are defined as the lines of communication in, through, and from space used for the movement of trade, materiel, supplies, personnel, spacecraft, electromagnetic transmissions, and some military effects. These lines are vital for protecting a state's diplomatic, economic, informational, and military interests.</w:t>
      </w:r>
      <w:r>
        <w:rPr>
          <w:rStyle w:val="EndnoteReference"/>
        </w:rPr>
        <w:t xml:space="preserve"> </w:t>
      </w:r>
      <w:r>
        <w:rPr>
          <w:rStyle w:val="EndnoteReference"/>
        </w:rPr>
        <w:endnoteReference w:id="22"/>
      </w:r>
    </w:p>
    <w:p w14:paraId="193A54D8" w14:textId="0B2965B9" w:rsidR="000045FC" w:rsidRPr="000E0C5F" w:rsidRDefault="000045FC" w:rsidP="000045FC">
      <w:pPr>
        <w:ind w:firstLine="504"/>
      </w:pPr>
      <w:r>
        <w:lastRenderedPageBreak/>
        <w:t>Space is strategically vital, acting as the indispensable backbone of national informational power and a crucial operational domain. It offers political choice through its ubiquity and pervasiveness, enabling global capabilities essential for modern militaries, such as Positioning, Navigation, and Timing (PNT), Intelligence, Surveillance, and Reconnaissance (ISR), and communications. Economically, space activity is a potent enabler and a critical national infrastructure component, upon which the global economy relies heavily.</w:t>
      </w:r>
      <w:r>
        <w:rPr>
          <w:rStyle w:val="EndnoteReference"/>
        </w:rPr>
        <w:endnoteReference w:id="23"/>
      </w:r>
    </w:p>
    <w:p w14:paraId="6DD599FD" w14:textId="1FFBCA5F" w:rsidR="000045FC" w:rsidRPr="000E0C5F" w:rsidRDefault="000045FC" w:rsidP="000045FC">
      <w:pPr>
        <w:ind w:firstLine="504"/>
      </w:pPr>
      <w:r>
        <w:t>However, space is not solely a military, or even state, endeavour. Non-state actors, including civil, industry, commercial, and academic entities, hold an increasing stake in the development and operation of capabilities.</w:t>
      </w:r>
      <w:r>
        <w:rPr>
          <w:rStyle w:val="EndnoteReference"/>
        </w:rPr>
        <w:endnoteReference w:id="24"/>
      </w:r>
      <w:r>
        <w:t xml:space="preserve"> Partnerships with these entities are therefore essential to increase resilience and enable deterrence opportunities. Resilience, a key defensive concept, involves strategies like distribution, diversification, and proliferation of assets, often leveraging commercial capabilities and services to ensure continuity even after an attack.</w:t>
      </w:r>
      <w:r>
        <w:rPr>
          <w:rStyle w:val="EndnoteReference"/>
        </w:rPr>
        <w:endnoteReference w:id="25"/>
      </w:r>
    </w:p>
    <w:p w14:paraId="7FA29E3E" w14:textId="00A7C042" w:rsidR="003C369A" w:rsidRPr="000E0C5F" w:rsidRDefault="003C369A">
      <w:pPr>
        <w:pStyle w:val="Heading3"/>
        <w:numPr>
          <w:ilvl w:val="2"/>
          <w:numId w:val="1"/>
        </w:numPr>
      </w:pPr>
      <w:bookmarkStart w:id="11" w:name="_Toc226533929"/>
      <w:r>
        <w:t>The Irish Strategic Context</w:t>
      </w:r>
      <w:bookmarkEnd w:id="11"/>
    </w:p>
    <w:p w14:paraId="792A5C85" w14:textId="1FD8964C" w:rsidR="006F49F7" w:rsidRPr="000E0C5F" w:rsidRDefault="003A0F11" w:rsidP="006F49F7">
      <w:pPr>
        <w:rPr>
          <w:rFonts w:eastAsia="Times New Roman" w:cs="Times New Roman"/>
          <w:kern w:val="0"/>
          <w14:ligatures w14:val="none"/>
        </w:rPr>
      </w:pPr>
      <w:r>
        <w:rPr>
          <w:rFonts w:eastAsia="Times New Roman" w:cs="Times New Roman"/>
          <w:kern w:val="0"/>
          <w14:ligatures w14:val="none"/>
        </w:rPr>
        <w:t>Ireland’s security environment has undergone a period of profound change, driven by the return of inter-state war in Europe and the rapid deterioration of the rules-based international order.</w:t>
      </w:r>
      <w:r>
        <w:rPr>
          <w:rStyle w:val="EndnoteReference"/>
          <w:rFonts w:eastAsia="Times New Roman" w:cs="Times New Roman"/>
          <w:kern w:val="0"/>
          <w14:ligatures w14:val="none"/>
        </w:rPr>
        <w:endnoteReference w:id="26"/>
      </w:r>
      <w:r>
        <w:rPr>
          <w:rStyle w:val="EndnoteReference"/>
          <w:rFonts w:eastAsia="Times New Roman" w:cs="Times New Roman"/>
          <w:kern w:val="0"/>
          <w14:ligatures w14:val="none"/>
        </w:rPr>
        <w:endnoteReference w:id="27"/>
      </w:r>
      <w:r>
        <w:rPr>
          <w:rFonts w:eastAsia="Times New Roman" w:cs="Times New Roman"/>
          <w:kern w:val="0"/>
          <w14:ligatures w14:val="none"/>
        </w:rPr>
        <w:t xml:space="preserve"> Recent policy reviews conclude that Ireland’s geographic position and long-standing policy of military neutrality can no longer insulate it from these threats. As a highly globalised, digitally intensive open economy whose critical infrastructure, undersea cables, GNSS-dependent financial systems, and satellite communications, constitutes both national prosperity and a potential target set, Ireland’s security is inextricably linked to the stability of the space domain.</w:t>
      </w:r>
      <w:r>
        <w:rPr>
          <w:rStyle w:val="EndnoteReference"/>
          <w:rFonts w:eastAsia="Times New Roman" w:cs="Times New Roman"/>
          <w:kern w:val="0"/>
          <w14:ligatures w14:val="none"/>
        </w:rPr>
        <w:endnoteReference w:id="28"/>
      </w:r>
    </w:p>
    <w:p w14:paraId="12D544B0" w14:textId="7DEE80BF" w:rsidR="003A0F11" w:rsidRPr="000E0C5F" w:rsidRDefault="003A0F11" w:rsidP="003A0F11">
      <w:pPr>
        <w:ind w:firstLine="720"/>
        <w:rPr>
          <w:rFonts w:eastAsia="Times New Roman" w:cs="Times New Roman"/>
          <w:kern w:val="0"/>
          <w14:ligatures w14:val="none"/>
        </w:rPr>
      </w:pPr>
      <w:r>
        <w:rPr>
          <w:rFonts w:eastAsia="Times New Roman" w:cs="Times New Roman"/>
          <w:kern w:val="0"/>
          <w14:ligatures w14:val="none"/>
        </w:rPr>
        <w:t xml:space="preserve">Ireland is increasingly exposed to hybrid threats, harmful activities combining conventional, irregular, and asymmetric means below the threshold of armed conflict, as demonstrated by the Russian cyberattack on the Viasat satellite network at the outset of the </w:t>
      </w:r>
      <w:r>
        <w:rPr>
          <w:rFonts w:eastAsia="Times New Roman" w:cs="Times New Roman"/>
          <w:kern w:val="0"/>
          <w14:ligatures w14:val="none"/>
        </w:rPr>
        <w:lastRenderedPageBreak/>
        <w:t>Ukraine invasion, which severed communications across Europe and targeted critical infrastructure in concert with conventional military action.</w:t>
      </w:r>
      <w:r>
        <w:rPr>
          <w:rStyle w:val="EndnoteReference"/>
          <w:rFonts w:eastAsia="Times New Roman" w:cs="Times New Roman"/>
          <w:kern w:val="0"/>
          <w14:ligatures w14:val="none"/>
        </w:rPr>
        <w:endnoteReference w:id="29"/>
      </w:r>
    </w:p>
    <w:p w14:paraId="32467D70" w14:textId="16C8E23C" w:rsidR="003A0F11" w:rsidRPr="000E0C5F" w:rsidRDefault="003A0F11" w:rsidP="003A0F11">
      <w:pPr>
        <w:ind w:firstLine="720"/>
        <w:rPr>
          <w:rFonts w:eastAsia="Times New Roman" w:cs="Times New Roman"/>
          <w:kern w:val="0"/>
          <w14:ligatures w14:val="none"/>
        </w:rPr>
      </w:pPr>
      <w:r>
        <w:rPr>
          <w:rFonts w:eastAsia="Times New Roman" w:cs="Times New Roman"/>
          <w:kern w:val="0"/>
          <w14:ligatures w14:val="none"/>
        </w:rPr>
        <w:t>As a global centre for leading edge technology and a geographical hub for data centres and transatlantic fibre optic cables, Ireland presents a valuable target for espionage activity. Threats to strategic infrastructure, including telecommunications and energy transmission networks, have become more pressing. The security of critical undersea infrastructure, particularly digital cabling and energy infrastructure, is a priority concern. This vulnerability is amplified by the increase in suspicious activity by foreign militaries in Ireland’s Exclusive Economic Zone (EEZ). For instance, Russian naval activity in the EEZ in 2022 demonstrated overt hybrid means employed by state actors, requiring the Defence Forces to maintain situational awareness.</w:t>
      </w:r>
      <w:r>
        <w:rPr>
          <w:rStyle w:val="EndnoteReference"/>
          <w:rFonts w:eastAsia="Times New Roman" w:cs="Times New Roman"/>
          <w:kern w:val="0"/>
          <w14:ligatures w14:val="none"/>
        </w:rPr>
        <w:endnoteReference w:id="30"/>
      </w:r>
    </w:p>
    <w:p w14:paraId="45B6A219" w14:textId="4D10F0B5" w:rsidR="008C78CC" w:rsidRPr="000E0C5F" w:rsidRDefault="003A0F11" w:rsidP="00A15357">
      <w:pPr>
        <w:ind w:firstLine="720"/>
        <w:rPr>
          <w:rFonts w:eastAsia="Times New Roman" w:cs="Times New Roman"/>
          <w:kern w:val="0"/>
          <w14:ligatures w14:val="none"/>
        </w:rPr>
      </w:pPr>
      <w:r>
        <w:rPr>
          <w:rFonts w:eastAsia="Times New Roman" w:cs="Times New Roman"/>
          <w:kern w:val="0"/>
          <w14:ligatures w14:val="none"/>
        </w:rPr>
        <w:t>Historically, Ireland's low threat perception regarding territorial defence resulted in a force largely staffed and resourced for constabulary and overseas tasks, rather than for conventional territorial defence, despite the theoretical need to act alone if attacked.</w:t>
      </w:r>
      <w:r>
        <w:rPr>
          <w:rStyle w:val="EndnoteReference"/>
          <w:rFonts w:eastAsia="Times New Roman" w:cs="Times New Roman"/>
          <w:kern w:val="0"/>
          <w14:ligatures w14:val="none"/>
        </w:rPr>
        <w:endnoteReference w:id="31"/>
      </w:r>
      <w:r>
        <w:rPr>
          <w:rFonts w:eastAsia="Times New Roman" w:cs="Times New Roman"/>
          <w:kern w:val="0"/>
          <w14:ligatures w14:val="none"/>
        </w:rPr>
        <w:t xml:space="preserve"> However, the evolving security environment demands a renewed focus on credible deterrence and the development of a balanced military force across all five operational domains: land, sea, air, space, and cyberspace. The Defence Forces' vision is to become a joint, agile, and fit-for-purpose military force capable of deterring threats across these multi-domain environments. The Air Corps, and future Irish Air Force, has been formally designated as the lead formation for the security and defence aspects of the space domain. The Commission on the Defence Forces (CoDF) report, specifically noted that failure to address the space domain will result in an embedded structural deficit within the Defence Forces.</w:t>
      </w:r>
      <w:r>
        <w:rPr>
          <w:rStyle w:val="EndnoteReference"/>
          <w:rFonts w:eastAsia="Times New Roman" w:cs="Times New Roman"/>
          <w:kern w:val="0"/>
          <w14:ligatures w14:val="none"/>
        </w:rPr>
        <w:endnoteReference w:id="32"/>
      </w:r>
      <w:r>
        <w:rPr>
          <w:rFonts w:eastAsia="Times New Roman" w:cs="Times New Roman"/>
          <w:kern w:val="0"/>
          <w14:ligatures w14:val="none"/>
        </w:rPr>
        <w:t xml:space="preserve"> The future Irish Air Force must be flexible and scalable to deliver effects in all five domains for the Joint Force.</w:t>
      </w:r>
    </w:p>
    <w:p w14:paraId="622F9B92" w14:textId="74B487F8" w:rsidR="00D125BF" w:rsidRPr="000E0C5F" w:rsidRDefault="00D125BF" w:rsidP="00A15357">
      <w:pPr>
        <w:ind w:firstLine="720"/>
        <w:rPr>
          <w:rFonts w:eastAsia="Times New Roman" w:cs="Times New Roman"/>
          <w:kern w:val="0"/>
          <w14:ligatures w14:val="none"/>
        </w:rPr>
      </w:pPr>
      <w:r>
        <w:rPr>
          <w:rFonts w:eastAsia="Times New Roman" w:cs="Times New Roman"/>
          <w:kern w:val="0"/>
          <w14:ligatures w14:val="none"/>
        </w:rPr>
        <w:lastRenderedPageBreak/>
        <w:t>With the space domain’s challenges, threats, and strategic context now established, it is clear that small states like Ireland must navigate a complex and contested environment with limited resources. The next chapter builds on this understanding by examining the theoretical foundations that guide the development of an effective, resource-conscious space security strategy. These frameworks provide the lens through which the strategic imperatives of intuitional reform, alliances, outsourcing, niche capabilities, and resilience can be translated into actionable policy and operational measures.</w:t>
      </w:r>
    </w:p>
    <w:p w14:paraId="1E4D6A01" w14:textId="77777777" w:rsidR="008C78CC" w:rsidRPr="000E0C5F" w:rsidRDefault="008C78CC" w:rsidP="008C78CC">
      <w:pPr>
        <w:rPr>
          <w:rFonts w:eastAsia="Times New Roman" w:cs="Times New Roman"/>
          <w:kern w:val="0"/>
          <w14:ligatures w14:val="none"/>
        </w:rPr>
      </w:pPr>
    </w:p>
    <w:p w14:paraId="256106DA" w14:textId="0C49A605" w:rsidR="00164327" w:rsidRPr="000E0C5F" w:rsidRDefault="00D0623F" w:rsidP="003B1714">
      <w:pPr>
        <w:spacing w:after="160" w:line="278" w:lineRule="auto"/>
      </w:pPr>
      <w:r>
        <w:br w:type="page"/>
      </w:r>
    </w:p>
    <w:p w14:paraId="7D50353B" w14:textId="48BAB379" w:rsidR="00B843EB" w:rsidRPr="000E0C5F" w:rsidRDefault="00B843EB">
      <w:pPr>
        <w:pStyle w:val="Heading1"/>
        <w:numPr>
          <w:ilvl w:val="0"/>
          <w:numId w:val="1"/>
        </w:numPr>
      </w:pPr>
      <w:bookmarkStart w:id="12" w:name="_Toc226533930"/>
      <w:r>
        <w:lastRenderedPageBreak/>
        <w:t>THE THEORETICAL BASIS &amp; STRATEGIC IMPERATIVES</w:t>
      </w:r>
      <w:bookmarkEnd w:id="12"/>
    </w:p>
    <w:p w14:paraId="47EBC7A0" w14:textId="77777777" w:rsidR="00237A50" w:rsidRPr="000E0C5F" w:rsidRDefault="00B843EB" w:rsidP="00B843EB">
      <w:r>
        <w:t>Classical strategic theory, far from being the exclusive preserve of great powers, offers small states a precise vocabulary for converting structural disadvantage into credible deterrence. Clausewitz’s foundational maxim that military strategy serves the political will of the state applies as forcefully to Ireland as to any major spacefaring nation; the question is which theoretical frameworks best translate that principle into viable action under conditions of severe resource constraint.</w:t>
      </w:r>
      <w:r>
        <w:rPr>
          <w:rStyle w:val="EndnoteReference"/>
        </w:rPr>
        <w:endnoteReference w:id="33"/>
      </w:r>
      <w:r>
        <w:t xml:space="preserve">  This theoretical discussion here informs the appropriate theories that should guide the development of a suitable space security strategy. The aim of theoretical inquire is to assist development of strategy, rather than prescribe specific actions. </w:t>
      </w:r>
    </w:p>
    <w:p w14:paraId="09170190" w14:textId="0CA2029F" w:rsidR="00B843EB" w:rsidRPr="000E0C5F" w:rsidRDefault="00B843EB" w:rsidP="00237A50">
      <w:pPr>
        <w:ind w:firstLine="432"/>
      </w:pPr>
      <w:r>
        <w:t>Regardless of whether one adopts a realist or a liberal view of international relations, there is wisdom in keeping Thucydides’ Melian Dialogue in mind, “The strong do what they can and the weak suffer what they must”.</w:t>
      </w:r>
      <w:r>
        <w:rPr>
          <w:rStyle w:val="EndnoteReference"/>
        </w:rPr>
        <w:endnoteReference w:id="34"/>
      </w:r>
      <w:r>
        <w:t xml:space="preserve"> Although this is served by Thucydides as council to major powers to not unduly exert their military power; for small states, this maxim is not counsel for passivity but a precise diagnosis of strategic starting conditions. A state that lacks sovereign launch capability, operates no military satellites, and fields an air corps significantly under strength cannot afford to approach the space domain as a symmetric competitor. Thucydides’ observation clarifies the strategic question: not whether Ireland can match great powers in space, but whether it can construct a posture sufficiently credible to deny adversaries the easy, low-cost disruption they seek. States must therefore select theoretical frameworks suited to their actual position within the international hierarchy, and the political aims of the Irish State must underpin any space security strategy built on those frameworks.</w:t>
      </w:r>
    </w:p>
    <w:p w14:paraId="3A000001" w14:textId="3A000001" w:rsidR="00B843EB" w:rsidRPr="000E0C5F" w:rsidRDefault="00B843EB" w:rsidP="00B843EB">
      <w:pPr>
        <w:ind w:firstLine="432"/>
      </w:pPr>
      <w:r>
        <w:t xml:space="preserve">The strongest counterargument to this entire enterprise deserves direct acknowledgment: why should a militarily neutral state assume space security responsibilities at all, when the EU </w:t>
      </w:r>
      <w:r>
        <w:lastRenderedPageBreak/>
        <w:t>and NATO Partnership for Peace frameworks already provide a collective security umbrella? The argument has surface appeal but does not survive scrutiny. Ireland’s 2024 Defence Policy Review explicitly concludes that geographic position and military neutrality “can no longer moderate the security risks and threats posed by malign actors.” Neutrality has never insulated undersea cables, data centres, or GNSS receivers from interference; it provides no protection against non-kinetic attacks that operate below the threshold of armed conflict. Passive reliance on partners, moreover, carries its own strategic cost: a state that contributes nothing to collective space security earns neither influence nor guaranteed priority access when crises demand it. The question, therefore, is not whether Ireland must engage with space security, but how to do so within the constraints of limited resources and a non-offensive defence posture.</w:t>
      </w:r>
    </w:p>
    <w:p w14:paraId="52A39ECB" w14:textId="648705F5" w:rsidR="00B843EB" w:rsidRPr="000E0C5F" w:rsidRDefault="00B843EB">
      <w:pPr>
        <w:pStyle w:val="Heading2"/>
        <w:numPr>
          <w:ilvl w:val="1"/>
          <w:numId w:val="1"/>
        </w:numPr>
      </w:pPr>
      <w:bookmarkStart w:id="13" w:name="_Toc226533931"/>
      <w:r>
        <w:t>Foundational Principles for Small States</w:t>
      </w:r>
      <w:bookmarkEnd w:id="13"/>
    </w:p>
    <w:p w14:paraId="6A0FB566" w14:textId="0A1D1605" w:rsidR="00B843EB" w:rsidRPr="000E0C5F" w:rsidRDefault="00B843EB" w:rsidP="00B843EB">
      <w:r>
        <w:t xml:space="preserve">Strategies for emerging space powers are fundamentally the necessary task of balancing desired ends with severely constrained means. Credible deterrence depends on developing sufficient capability to shift an aggressor’s cost-benefit calculation away from military action. </w:t>
      </w:r>
    </w:p>
    <w:p w14:paraId="77AEFA38" w14:textId="7403A8C1" w:rsidR="00B843EB" w:rsidRPr="000E0C5F" w:rsidRDefault="00B843EB" w:rsidP="00B843EB">
      <w:pPr>
        <w:ind w:firstLine="432"/>
      </w:pPr>
      <w:r>
        <w:t>The primary guiding principle for military operations undertaken by the less capable is to deter aggression by a superior power, or, in the event of aggression to use every means available for pure resistance to convince the enemy in the "end his political object will not seem worth the effort it costs”.</w:t>
      </w:r>
      <w:r>
        <w:rPr>
          <w:rStyle w:val="EndnoteReference"/>
        </w:rPr>
        <w:endnoteReference w:id="35"/>
      </w:r>
      <w:r>
        <w:t xml:space="preserve"> Given that a less capable power is highly unlikely to achieve a decisive military victory against a superior opponent, the core of its strategy must be to avoid rapid or decisive defeat. The focus, therefore, shifts to exploiting opportunities to achieve strategic advantage by creating dislocation or paralysis in the enemy. </w:t>
      </w:r>
    </w:p>
    <w:p w14:paraId="0EC23354" w14:textId="7904D5F1" w:rsidR="00B843EB" w:rsidRPr="000E0C5F" w:rsidRDefault="00B843EB" w:rsidP="00B843EB">
      <w:pPr>
        <w:ind w:firstLine="720"/>
      </w:pPr>
      <w:r>
        <w:t>Drawing on the teachings of Clausewitz, the defence is an inherently stronger form of war.</w:t>
      </w:r>
      <w:r>
        <w:rPr>
          <w:rStyle w:val="EndnoteReference"/>
        </w:rPr>
        <w:endnoteReference w:id="36"/>
      </w:r>
      <w:r>
        <w:t xml:space="preserve"> Small states are inherently disadvantaged against more powerful adversaries and therefore </w:t>
      </w:r>
      <w:r>
        <w:lastRenderedPageBreak/>
        <w:t>generally best served adopting defensive strategies for national security. It is not feasible for a state like Ireland to match the military resources of a larger aggressor, but deterrence can still succeed without military superiority. As Mazarr points out, the important question is how much capability is "enough to deny an aggressor the opportunity for an easy victory".</w:t>
      </w:r>
      <w:r>
        <w:rPr>
          <w:rStyle w:val="EndnoteReference"/>
        </w:rPr>
        <w:endnoteReference w:id="37"/>
      </w:r>
      <w:r>
        <w:t xml:space="preserve"> Success can be achieved by deploying sufficient forces to raise the cost of a potential attack, make escalation inevitable, and deny the possibility of a low-risk fait accompli. The goal of the strategy is not to defeat the enemy outright, but to convince them aggression will not advance their political aims. So, with deterrence as the core of the strategy, states must develop a credible capability based on a defensive posture.</w:t>
      </w:r>
    </w:p>
    <w:p w14:paraId="4B37D018" w14:textId="3DA1B28C" w:rsidR="00B843EB" w:rsidRPr="000E0C5F" w:rsidRDefault="00B843EB" w:rsidP="00B843EB">
      <w:pPr>
        <w:ind w:firstLine="432"/>
      </w:pPr>
      <w:r>
        <w:t xml:space="preserve"> The primary objective of the defence is negative in nature: to preserve one's forces, assets, or capabilities, or to prevent the enemy from achieving its political objectives.</w:t>
      </w:r>
      <w:r>
        <w:rPr>
          <w:rStyle w:val="EndnoteReference"/>
        </w:rPr>
        <w:endnoteReference w:id="38"/>
      </w:r>
      <w:r>
        <w:t xml:space="preserve"> The intrinsic strength of the defence hinges on the requirement of making adequate preparations ahead of hostilities. These preparatory actions, rather than merely awaiting the attack, provide the defence with its comparative strength.</w:t>
      </w:r>
      <w:r>
        <w:rPr>
          <w:rStyle w:val="EndnoteReference"/>
        </w:rPr>
        <w:endnoteReference w:id="39"/>
      </w:r>
      <w:r>
        <w:t xml:space="preserve"> Such actions include incorporating space domain asset assurance and resilience measures. Failure to make these investments undermines a defensive strategy and leaves critical systems highly vulnerable to attack. A small nation like Ireland cannot achieve this unilaterally and must pursue cooperative alliances and projects with strategically aligned states.</w:t>
      </w:r>
    </w:p>
    <w:p w14:paraId="5228339D" w14:textId="31F8CF4D" w:rsidR="00B843EB" w:rsidRPr="000E0C5F" w:rsidRDefault="00B843EB" w:rsidP="00AB03D9">
      <w:pPr>
        <w:ind w:firstLine="432"/>
      </w:pPr>
      <w:r>
        <w:t>The indirect approach, advocated by B.H. Liddell Hart is a useful framework for small states when analysing potential approaches to developing strategy. The approach suggests that strategy should not focus solely on overcoming the adversary's resistance directly, which would be beyond the capability of a small state, but rather should aim to seek a strategic situation so advantageous, that the result of any resulting engagement is a foregone conclusion. He defines this as dislocation of the enemy.</w:t>
      </w:r>
      <w:r>
        <w:rPr>
          <w:rStyle w:val="EndnoteReference"/>
        </w:rPr>
        <w:endnoteReference w:id="40"/>
      </w:r>
      <w:r>
        <w:t xml:space="preserve"> A small state must create a situation where the aggressor is so </w:t>
      </w:r>
      <w:r>
        <w:lastRenderedPageBreak/>
        <w:t xml:space="preserve">disadvantaged that they believe any continuation of aggression will not achieve their desired goals. Once the enemy is dislocated, concentration of limited capabilities at the right place and right time to exploit that dislocation is fundamental to success. The indirect approach can be extrapolated when analysing the potential strategic framework for space security, through analysis and focusing the strengths of the state against the potential weaknesses of the adversary. </w:t>
      </w:r>
    </w:p>
    <w:p w14:paraId="5EEE34D1" w14:textId="5377F3E8" w:rsidR="00DC57AA" w:rsidRPr="000E0C5F" w:rsidRDefault="00DC57AA">
      <w:pPr>
        <w:pStyle w:val="Heading2"/>
        <w:numPr>
          <w:ilvl w:val="1"/>
          <w:numId w:val="1"/>
        </w:numPr>
      </w:pPr>
      <w:bookmarkStart w:id="14" w:name="_Toc226533932"/>
      <w:r>
        <w:t>Strategic Imperatives</w:t>
      </w:r>
      <w:bookmarkEnd w:id="14"/>
    </w:p>
    <w:p w14:paraId="731DD498" w14:textId="3CA1F20B" w:rsidR="00AE4C30" w:rsidRDefault="00A15357" w:rsidP="00AE4C30">
      <w:r>
        <w:t>The theoretical principles outlined above give rise to five strategic imperatives for emerging space powers: institutionalising coherent space governance, cultivating cooperative alliances, integrating commercial partnerships, developing selective indigenous niche capabilities, and hardening all-force resilience against space denial. The first imperative is foundational: without institutional architecture capable of coordinating strategy, managing external relationships, and directing capability development, the remaining four cannot be executed coherently. The subsequent f</w:t>
      </w:r>
      <w:r w:rsidR="00C0408B">
        <w:t>our</w:t>
      </w:r>
      <w:r>
        <w:t xml:space="preserve"> imperatives operationalise the concepts of deterrence, defensive primacy, and the indirect approach, translating abstract strategic principles into concrete, actionable policy measures.</w:t>
      </w:r>
    </w:p>
    <w:p w14:paraId="6D2ACB5D" w14:textId="5B96FB4C" w:rsidR="00C0408B" w:rsidRDefault="003C7A36" w:rsidP="00C0408B">
      <w:pPr>
        <w:keepNext/>
      </w:pPr>
      <w:r>
        <w:rPr>
          <w:noProof/>
        </w:rPr>
        <w:lastRenderedPageBreak/>
        <w:drawing>
          <wp:inline distT="0" distB="0" distL="0" distR="0" wp14:anchorId="4A3381E1" wp14:editId="309C2A5E">
            <wp:extent cx="5943600" cy="3343275"/>
            <wp:effectExtent l="0" t="0" r="0" b="9525"/>
            <wp:docPr id="15162190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902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inline>
        </w:drawing>
      </w:r>
    </w:p>
    <w:p w14:paraId="09768A65" w14:textId="1B392DC9" w:rsidR="00C0408B" w:rsidRPr="000E0C5F" w:rsidRDefault="00C0408B" w:rsidP="00C0408B">
      <w:pPr>
        <w:pStyle w:val="Caption"/>
      </w:pPr>
      <w:r>
        <w:t xml:space="preserve">Figure </w:t>
      </w:r>
      <w:r>
        <w:fldChar w:fldCharType="begin"/>
      </w:r>
      <w:r>
        <w:instrText xml:space="preserve"> SEQ Figure \* ARABIC </w:instrText>
      </w:r>
      <w:r>
        <w:fldChar w:fldCharType="separate"/>
      </w:r>
      <w:r w:rsidR="0058581F">
        <w:rPr>
          <w:noProof/>
        </w:rPr>
        <w:t>1</w:t>
      </w:r>
      <w:r>
        <w:fldChar w:fldCharType="end"/>
      </w:r>
      <w:r>
        <w:t>: Strategic Pillars for Developing Small State Space Domain Capabilities</w:t>
      </w:r>
    </w:p>
    <w:p w14:paraId="2A3B4C5D" w14:textId="6E7F8A9B" w:rsidR="00E261D4" w:rsidRPr="000E0C5F" w:rsidRDefault="00E261D4">
      <w:pPr>
        <w:pStyle w:val="Heading3"/>
        <w:numPr>
          <w:ilvl w:val="2"/>
          <w:numId w:val="1"/>
        </w:numPr>
      </w:pPr>
      <w:bookmarkStart w:id="15" w:name="_Toc226396261a"/>
      <w:bookmarkStart w:id="16" w:name="_Toc226533933"/>
      <w:r>
        <w:t>Institutionalising Space Governance</w:t>
      </w:r>
      <w:bookmarkEnd w:id="15"/>
      <w:bookmarkEnd w:id="16"/>
      <w:r>
        <w:t xml:space="preserve"> </w:t>
      </w:r>
    </w:p>
    <w:p w14:paraId="3C4D5E6F" w14:textId="0771A28D" w:rsidR="00E261D4" w:rsidRPr="000E0C5F" w:rsidRDefault="00E261D4" w:rsidP="00E261D4">
      <w:r>
        <w:t>Before a state can execute any of the remaining imperatives, it must establish the institutional architecture through which they are directed. This requirement flows directly from the foundational principles examined above. Clausewitz’s maxim that military strategy must serve the political will of the state presupposes that the state possesses the apparatus to translate political will into coherent strategic action; without dedicated structures, personnel, and doctrine, space power remains an aspiration rather than a capability.</w:t>
      </w:r>
      <w:r>
        <w:rPr>
          <w:rStyle w:val="EndnoteReference"/>
        </w:rPr>
        <w:endnoteReference w:id="41"/>
      </w:r>
      <w:r>
        <w:t xml:space="preserve"> The indirect approach likewise demands institutional clarity: a state cannot concentrate limited capabilities at the decisive point if it has no mechanism for identifying that point, coordinating across government agencies, or sustaining the external relationships upon which it depends.</w:t>
      </w:r>
      <w:r>
        <w:rPr>
          <w:rStyle w:val="EndnoteReference"/>
        </w:rPr>
        <w:endnoteReference w:id="42"/>
      </w:r>
    </w:p>
    <w:p w14:paraId="4D5E6F7A" w14:textId="32AF8C30" w:rsidR="00E261D4" w:rsidRPr="000E0C5F" w:rsidRDefault="00E261D4" w:rsidP="00E261D4">
      <w:pPr>
        <w:ind w:firstLine="432"/>
      </w:pPr>
      <w:r>
        <w:t xml:space="preserve">For an emerging space power, institutionalisation means three things in practice. First, it requires the formal designation of a lead organisation for the space domain with a clear mandate, a direct reporting line to senior military or governmental leadership, and sufficient authority to </w:t>
      </w:r>
      <w:r>
        <w:lastRenderedPageBreak/>
        <w:t>coordinate requirements across civil, military, and commercial stakeholders. A fragmented institutional landscape, in which space responsibilities are distributed across uncoordinated agencies without a central authority, produces exactly the kind of diffuse, undirected effort that the indirect approach counsels against.</w:t>
      </w:r>
      <w:r>
        <w:rPr>
          <w:rStyle w:val="EndnoteReference"/>
        </w:rPr>
        <w:endnoteReference w:id="43"/>
      </w:r>
      <w:r>
        <w:t xml:space="preserve"> Second, institutionalisation requires the publication of a coherent space strategy and supporting doctrine. Doctrine translates strategic intent into the shared language and conceptual framework that enables multi-domain planning; without it, a state cannot integrate space-derived effects into joint operations or communicate its requirements to allied partners.</w:t>
      </w:r>
      <w:r>
        <w:rPr>
          <w:rStyle w:val="EndnoteReference"/>
        </w:rPr>
        <w:endnoteReference w:id="44"/>
      </w:r>
      <w:r>
        <w:t xml:space="preserve"> Third, the institutional architecture must include explicit mechanisms for engaging with the commercial sector and international partners, since the remaining three imperatives are fundamentally dependent on external relationships that require active, sustained management. Institutionalisation is not a bureaucratic preliminary to strategy; it is itself a strategic act, and states that defer it in favour of acquiring material capabilities before establishing governance structures consistently find that those capabilities cannot be effectively directed, sustained, or integrated.</w:t>
      </w:r>
      <w:r>
        <w:rPr>
          <w:rStyle w:val="EndnoteReference"/>
        </w:rPr>
        <w:endnoteReference w:id="45"/>
      </w:r>
    </w:p>
    <w:p w14:paraId="736F13C7" w14:textId="43B5DDD3" w:rsidR="00E261D4" w:rsidRPr="000E0C5F" w:rsidRDefault="00E261D4">
      <w:pPr>
        <w:pStyle w:val="Heading3"/>
        <w:numPr>
          <w:ilvl w:val="2"/>
          <w:numId w:val="1"/>
        </w:numPr>
      </w:pPr>
      <w:bookmarkStart w:id="17" w:name="_Toc226533934"/>
      <w:r>
        <w:t>Co-operation and Alliances</w:t>
      </w:r>
      <w:bookmarkEnd w:id="17"/>
      <w:r>
        <w:t xml:space="preserve"> </w:t>
      </w:r>
    </w:p>
    <w:p w14:paraId="028EDF64" w14:textId="2F2A6A5C" w:rsidR="00E261D4" w:rsidRPr="000E0C5F" w:rsidRDefault="00583C06" w:rsidP="00E261D4">
      <w:r>
        <w:t>Emerging space powers are inherently constrained by limited fiscal and material resources, therefore forging partnerships and alliances is a fundamental strategic requirement for enhancing capability and security. Cooperation signifies collaboration between states and non-state actors to achieve shared objectives, often where interests converge. For an emerging small state, alliances and cooperation serve as essential components of a strategy that prioritizes preservation and the indirect approach, maximizing influence without engaging in direct, costly competition.</w:t>
      </w:r>
      <w:r>
        <w:rPr>
          <w:rStyle w:val="EndnoteReference"/>
        </w:rPr>
        <w:endnoteReference w:id="46"/>
      </w:r>
    </w:p>
    <w:p w14:paraId="276C5894" w14:textId="0E3B4E9E" w:rsidR="00E261D4" w:rsidRPr="000E0C5F" w:rsidRDefault="00E261D4" w:rsidP="00E261D4">
      <w:pPr>
        <w:ind w:firstLine="432"/>
      </w:pPr>
      <w:r>
        <w:t xml:space="preserve">Alliances provide numerous benefits to less capable states. Partnerships allow less capable nations to pool and share equipment and resources and exploit efficiencies in defence spending </w:t>
      </w:r>
      <w:r>
        <w:lastRenderedPageBreak/>
        <w:t>to achieve requisite combined military capabilities. A coalition of medium or emerging powers can gain more diplomatic influence among the international community than a single state acting alone. Alliances, such as the North Atlantic Treaty Organization (NATO), are stronger than the sum of their individual members and function as a powerful tool for deterrence. Mutual defence agreements, like NATO's Article 5, ensure that an attack against one ally is met with a response from all, thereby marshalling additional partners to defeat a common foe. An emerging power may find advantage in maintaining its status as a less capable power by engaging in a cooperative relationship with a superior power, thereby leveraging the superior power's technological advancements and military protection without incurring the high costs and risks of independent development, a method described by Klein describes as “piggybacking”.</w:t>
      </w:r>
      <w:r>
        <w:rPr>
          <w:rStyle w:val="EndnoteReference"/>
        </w:rPr>
        <w:endnoteReference w:id="47"/>
      </w:r>
      <w:r>
        <w:t xml:space="preserve"> This collective action is consistent with the need for nations like Ireland to deepen engagement with partner organizations to address shared security challenges in an increasingly unpredictable world. International partnering is considered an indirect method for deterrence, which is highly attractive to weaker or developing states and helps alleviate international tensions and security concerns inside the terrestrial confines. </w:t>
      </w:r>
    </w:p>
    <w:p w14:paraId="3FF611F4" w14:textId="1F0C074F" w:rsidR="00C73E9E" w:rsidRPr="000E0C5F" w:rsidRDefault="00C73E9E">
      <w:pPr>
        <w:pStyle w:val="Heading3"/>
        <w:numPr>
          <w:ilvl w:val="2"/>
          <w:numId w:val="1"/>
        </w:numPr>
      </w:pPr>
      <w:bookmarkStart w:id="18" w:name="_Toc226533935"/>
      <w:r>
        <w:t>Outsourcing and Commercial Integration</w:t>
      </w:r>
      <w:bookmarkEnd w:id="18"/>
    </w:p>
    <w:p w14:paraId="73DA165E" w14:textId="5001C9E0" w:rsidR="00F374DD" w:rsidRPr="000E0C5F" w:rsidRDefault="00F374DD" w:rsidP="006E6B25">
      <w:r>
        <w:t>Strategic outsourcing provides a viable pathway for less capable powers to achieve immediate capability gains in the space domain while simultaneously minimizing high-risk, expensive investments. Smaller powers can acquire significant access to space by utilizing readily available commercial space technologies and capabilities. This strategy enables operational advantage through additional capabilities, thereby effectively lowering the state’s risk when conducting military missions. This concept is often described as “buying” space access and capabilities.</w:t>
      </w:r>
      <w:r>
        <w:rPr>
          <w:rStyle w:val="EndnoteReference"/>
        </w:rPr>
        <w:endnoteReference w:id="48"/>
      </w:r>
      <w:r>
        <w:t xml:space="preserve"> This approach follows directly from the logic of scarcity: when a state cannot afford broad-</w:t>
      </w:r>
      <w:r>
        <w:lastRenderedPageBreak/>
        <w:t>spectrum indigenous development, cooperation, particularly with commercial entities, becomes a rational and cost-effective extension of policy.</w:t>
      </w:r>
      <w:r>
        <w:rPr>
          <w:rStyle w:val="EndnoteReference"/>
        </w:rPr>
        <w:endnoteReference w:id="49"/>
      </w:r>
      <w:r>
        <w:t xml:space="preserve"> Commercial assets, including orbital and terrestrial infrastructure, must be protected as they become integral to national space power. Strategic integration with commercial entities is crucial to shaping the international environment and bolstering national security. Increased commercial use of space contributes to the democratization of the domain, making it easier and cheaper for emerging nations to acquire capabilities.</w:t>
      </w:r>
      <w:r>
        <w:rPr>
          <w:rStyle w:val="EndnoteReference"/>
        </w:rPr>
        <w:endnoteReference w:id="50"/>
      </w:r>
      <w:r>
        <w:t xml:space="preserve"> Economically viable small states such as Ireland, aiming to convert their economic capability into military capability, may formalize this relationship by entering into contracts or service level agreements (SLAs) with commercial space companies.</w:t>
      </w:r>
      <w:r>
        <w:rPr>
          <w:rStyle w:val="EndnoteReference"/>
        </w:rPr>
        <w:endnoteReference w:id="51"/>
      </w:r>
      <w:r>
        <w:t xml:space="preserve"> These agreements can either augment existing capabilities or position the commercial entity as the sole provider of space-based services. A key economic advantage of this approach is that the state avoids having to provide the large research and development (R&amp;D) costs upfront for complex, high-end systems. Instead, the state only incurs costs for specific services over a specified period. This reliance on external capabilities is consistent with the RAND "Minimalist option" for military space policy, a strategy outlined in the 1998 RAND study SPACE: Emerging Options for National Power.</w:t>
      </w:r>
      <w:r>
        <w:rPr>
          <w:rStyle w:val="EndnoteReference"/>
        </w:rPr>
        <w:endnoteReference w:id="52"/>
      </w:r>
      <w:r>
        <w:t xml:space="preserve"> The minimalist option strategy is driven largely by budgetary constraints and technological advances in the civilian sector. Following this model, the military generally chooses to own only those systems performing unique and/or time-critical national security functions and opts to lease everything else from the commercial sector.</w:t>
      </w:r>
    </w:p>
    <w:p w14:paraId="10990525" w14:textId="298913BE" w:rsidR="00F374DD" w:rsidRPr="000E0C5F" w:rsidRDefault="00F374DD" w:rsidP="00F374DD">
      <w:pPr>
        <w:ind w:firstLine="504"/>
      </w:pPr>
      <w:r>
        <w:t xml:space="preserve">The services contracted frequently involve capabilities that are inherently dual-use. These contractual services may include access to and analysis of remote sensing data, which provides a low-budget image intelligence capability accessible to most nations. Other contracted services include high-throughput satellite communications (SATCOM), the use of heavy-lift launch </w:t>
      </w:r>
      <w:r>
        <w:lastRenderedPageBreak/>
        <w:t>vehicles, and securing responsive launch capability. Furthermore, contracted services extend to sourcing extensive Space Situational Awareness (SSA) information. Commercial SSA capabilities are supported by a global network of sensors, such as those provided by companies like AGI and LeoLabs, which offer detailed services like conjunction assessment and rapid orbit determination. On-orbit servicing and inspection services may also be contracted, holding the potential to provide irreversible effects against satellites in orbit if required.</w:t>
      </w:r>
      <w:r>
        <w:rPr>
          <w:rStyle w:val="EndnoteReference"/>
        </w:rPr>
        <w:endnoteReference w:id="53"/>
      </w:r>
    </w:p>
    <w:p w14:paraId="59670C9E" w14:textId="3B8922EC" w:rsidR="00F374DD" w:rsidRPr="000E0C5F" w:rsidRDefault="00F374DD" w:rsidP="00F374DD">
      <w:pPr>
        <w:ind w:firstLine="504"/>
      </w:pPr>
      <w:r>
        <w:t>For emerging space powers, leveraging this cooperative framework allows them to benefit from technological developments, piggybacking on the efforts of more capable powers without incurring considerable research and development costs themselves. By utilizing this access pathway, these states can maintain a minimal space-related training and educational infrastructure while still achieving substantial access to space. The resulting monetary savings can then be directed toward non-space activities considered more critical to national interests. The fundamental approach for emerging space actors is pursuing space-related technologies and capabilities that are practical and affordable.</w:t>
      </w:r>
      <w:r>
        <w:rPr>
          <w:rStyle w:val="EndnoteReference"/>
        </w:rPr>
        <w:endnoteReference w:id="54"/>
      </w:r>
    </w:p>
    <w:p w14:paraId="0F57DB08" w14:textId="566FEA99" w:rsidR="00F374DD" w:rsidRPr="000E0C5F" w:rsidRDefault="00F374DD" w:rsidP="00F374DD">
      <w:pPr>
        <w:ind w:firstLine="504"/>
      </w:pPr>
      <w:r>
        <w:t>However, outsourcing military functions introduces certain dilemmas. A potential disadvantage for a small state is that commercial operators may honour higher priority service level agreements for more capable powers who are competing for the same commercial services during a conflict, such as Earth imaging or wideband SATCOM. Additionally, the military use of commercial satellites demands rigorous operational security. The purchasing state must ensure that information is ordered and disseminated confidentially so that the area of interest remains undisclosed, and the entire data chain must be resilient to cyber threats.</w:t>
      </w:r>
      <w:r>
        <w:rPr>
          <w:rStyle w:val="EndnoteReference"/>
        </w:rPr>
        <w:endnoteReference w:id="55"/>
      </w:r>
      <w:r>
        <w:t xml:space="preserve"> Finally, commercial space systems employed by an adversary to advance its war efforts, including the satellites on orbit, are regarded as valid military targets. If such an asset belongs to a neutral third-party </w:t>
      </w:r>
      <w:r>
        <w:lastRenderedPageBreak/>
        <w:t>company, attacking it presents the awkward position of potentially widening the campaign and raising complex issues regarding the Law of Armed Conflict and neutrality. Despite these risks, strategic outsourcing remains the most cost-effective pathway for Ireland to achieve immediate space capability gains. Properly managed through diversified provider architectures and legally binding Service Level Agreements (SLAs) , as demonstrated by the contrasting lessons of Ukraine’s Starlink dependency , commercial integration becomes not a strategic liability, but a manageable, reversible, and highly scalable force multiplier that is entirely consistent with the indirect approach advocated for emerging space powers.</w:t>
      </w:r>
      <w:r>
        <w:rPr>
          <w:rStyle w:val="EndnoteReference"/>
        </w:rPr>
        <w:endnoteReference w:id="56"/>
      </w:r>
    </w:p>
    <w:p w14:paraId="410EB956" w14:textId="5C0D8FF0" w:rsidR="00C73E9E" w:rsidRPr="000E0C5F" w:rsidRDefault="00C73E9E">
      <w:pPr>
        <w:pStyle w:val="Heading3"/>
        <w:numPr>
          <w:ilvl w:val="2"/>
          <w:numId w:val="1"/>
        </w:numPr>
      </w:pPr>
      <w:bookmarkStart w:id="19" w:name="_Toc226533936"/>
      <w:r>
        <w:t>Niche Capabilities and Autonomy</w:t>
      </w:r>
      <w:bookmarkEnd w:id="19"/>
    </w:p>
    <w:p w14:paraId="57579BFF" w14:textId="083C3E1D" w:rsidR="00F374DD" w:rsidRPr="000E0C5F" w:rsidRDefault="00F374DD" w:rsidP="004E48DB">
      <w:r>
        <w:t>The development of specific indigenous capabilities is a strategic imperative for emerging powers to preserve their ability to act independently and safeguard their vital interests, even while relying heavily on international cooperation. This approach allows them to maintain the levers of power in their own hands to the maximum extent possible.</w:t>
      </w:r>
      <w:r>
        <w:rPr>
          <w:rStyle w:val="EndnoteReference"/>
        </w:rPr>
        <w:t xml:space="preserve"> </w:t>
      </w:r>
      <w:r>
        <w:rPr>
          <w:rStyle w:val="EndnoteReference"/>
        </w:rPr>
        <w:endnoteReference w:id="57"/>
      </w:r>
    </w:p>
    <w:p w14:paraId="78EFE9B8" w14:textId="682931CD" w:rsidR="00F374DD" w:rsidRPr="000E0C5F" w:rsidRDefault="006E6B25" w:rsidP="00F374DD">
      <w:pPr>
        <w:ind w:firstLine="540"/>
      </w:pPr>
      <w:r>
        <w:t>Emerging powers must selectively prioritize modest but effective space capabilities. By developing specialised or niche capabilities that are advantageous and sufficiently specialised, an emerging power can enter into cooperative relationships where great powers become reliant upon its technologies, capabilities, or processes, thereby gaining influence.</w:t>
      </w:r>
      <w:r>
        <w:rPr>
          <w:rStyle w:val="EndnoteReference"/>
        </w:rPr>
        <w:endnoteReference w:id="58"/>
      </w:r>
    </w:p>
    <w:p w14:paraId="26E63760" w14:textId="3B757A9C" w:rsidR="00F374DD" w:rsidRPr="000E0C5F" w:rsidRDefault="00F374DD" w:rsidP="00F374DD">
      <w:pPr>
        <w:ind w:firstLine="540"/>
      </w:pPr>
      <w:r>
        <w:t xml:space="preserve">For example, the Netherlands explicitly focuses on developing niche capabilities to deliver national and international value, while deliberately avoiding the duplication of capabilities already provided by partners or commercial parties. This strategy allows the Netherlands to position itself as a dependable and technologically interesting partner within NATO and the EU by contributing specific niche knowledge. Developing proprietary capabilities also provides an </w:t>
      </w:r>
      <w:r>
        <w:lastRenderedPageBreak/>
        <w:t>international 'seat at the table,' ensuring that more partners' capabilities are available to the Netherlands.</w:t>
      </w:r>
      <w:r>
        <w:rPr>
          <w:rStyle w:val="EndnoteReference"/>
        </w:rPr>
        <w:endnoteReference w:id="59"/>
      </w:r>
    </w:p>
    <w:p w14:paraId="04777106" w14:textId="237AE6B4" w:rsidR="00F374DD" w:rsidRPr="000E0C5F" w:rsidRDefault="00F374DD" w:rsidP="00F374DD">
      <w:pPr>
        <w:ind w:firstLine="540"/>
      </w:pPr>
      <w:r>
        <w:t>The global trend toward smaller, more affordable space capabilities, specifically microsatellites and nanosatellites, is changing the dynamics of space access.</w:t>
      </w:r>
      <w:r>
        <w:rPr>
          <w:rStyle w:val="EndnoteReference"/>
        </w:rPr>
        <w:t xml:space="preserve"> </w:t>
      </w:r>
      <w:r>
        <w:rPr>
          <w:rStyle w:val="EndnoteReference"/>
        </w:rPr>
        <w:endnoteReference w:id="60"/>
      </w:r>
      <w:r>
        <w:t>This evolution enables less capable nations to generate significant security capabilities within individual national space budgets.</w:t>
      </w:r>
      <w:r>
        <w:rPr>
          <w:rStyle w:val="EndnoteReference"/>
        </w:rPr>
        <w:endnoteReference w:id="61"/>
      </w:r>
    </w:p>
    <w:p w14:paraId="3D6BD3AE" w14:textId="57F2D039" w:rsidR="00F374DD" w:rsidRPr="000E0C5F" w:rsidRDefault="00F374DD" w:rsidP="00F374DD">
      <w:pPr>
        <w:ind w:firstLine="540"/>
      </w:pPr>
      <w:r>
        <w:t>Strategic investment should focus on small, affordable dual-use systems. Investing in these systems offers direct applicability to broader national objectives, including economic, environmental, and collective security. European nations have pursued this path to achieve autonomous capabilities.</w:t>
      </w:r>
      <w:r>
        <w:rPr>
          <w:rStyle w:val="EndnoteReference"/>
        </w:rPr>
        <w:endnoteReference w:id="62"/>
      </w:r>
      <w:r>
        <w:t xml:space="preserve"> Germany developed the military Synthetic Aperture Radar (SAR)–Lupe imaging system, driven by a desire to gain autonomous visibility (as seen following the Kosovo war). The Netherlands has invested in indigenous capabilities through research programs such as BRIK-II, its first military satellite which served as a demonstration mission for communications and sensors. </w:t>
      </w:r>
      <w:r>
        <w:rPr>
          <w:rStyle w:val="EndnoteReference"/>
        </w:rPr>
        <w:endnoteReference w:id="63"/>
      </w:r>
    </w:p>
    <w:p w14:paraId="2F1AC74F" w14:textId="5A2B6239" w:rsidR="00E261D4" w:rsidRPr="000E0C5F" w:rsidRDefault="00F374DD" w:rsidP="00F374DD">
      <w:pPr>
        <w:ind w:firstLine="540"/>
      </w:pPr>
      <w:r>
        <w:t>The core motivation for developing these own capabilities, such as small satellites and ground-based sensors, is to promote a degree of strategic autonomy by making less capable nations less dependent on strategic partners or commercial parties for essential capabilities. These critical capabilities include communications, navigation, observation, and Intelligence, Surveillance, and Reconnaissance (ISR). Reducing reliance on external actors ensures the availability of crucial space capabilities for military operations, particularly in times of conflict or crisis.</w:t>
      </w:r>
      <w:r w:rsidR="00553F3E">
        <w:rPr>
          <w:rStyle w:val="EndnoteReference"/>
        </w:rPr>
        <w:endnoteReference w:id="64"/>
      </w:r>
    </w:p>
    <w:p w14:paraId="6D0C0FAA" w14:textId="31B12BC9" w:rsidR="00DB0C32" w:rsidRPr="000E0C5F" w:rsidRDefault="0030153B">
      <w:pPr>
        <w:pStyle w:val="Heading3"/>
        <w:numPr>
          <w:ilvl w:val="2"/>
          <w:numId w:val="1"/>
        </w:numPr>
      </w:pPr>
      <w:bookmarkStart w:id="20" w:name="_Toc226533937"/>
      <w:r>
        <w:lastRenderedPageBreak/>
        <w:t>All Force Resiliency</w:t>
      </w:r>
      <w:bookmarkEnd w:id="20"/>
    </w:p>
    <w:p w14:paraId="004B0045" w14:textId="2570253A" w:rsidR="0091723A" w:rsidRPr="000E0C5F" w:rsidRDefault="00DB0C32" w:rsidP="00DB0C32">
      <w:r>
        <w:t>Since defensive primacy is predicated on thorough preparations ahead of conflict, resilience measures, specifically insulating terrestrial forces, are critical to the preservation of fighting capability and dislocating an adversary’s strategy. Space strategy for small states especially, must include preparations and guidance on how to compensate for a space-degraded environment. Resilience, defined by components like diversification, and disaggregation, is the ability to support mission success despite hostile action.</w:t>
      </w:r>
      <w:r>
        <w:rPr>
          <w:rStyle w:val="EndnoteReference"/>
        </w:rPr>
        <w:endnoteReference w:id="65"/>
      </w:r>
      <w:r>
        <w:t xml:space="preserve"> </w:t>
      </w:r>
    </w:p>
    <w:p w14:paraId="4867653D" w14:textId="46FC5C74" w:rsidR="00DB0C32" w:rsidRPr="000E0C5F" w:rsidRDefault="00DB0C32" w:rsidP="0091723A">
      <w:pPr>
        <w:ind w:firstLine="720"/>
      </w:pPr>
      <w:r>
        <w:t>Diversification means achieving mission objectives using capabilities of commercial, civil, or international partners, as well as developing alternatives in other domains. A core focus should be leveraging non-space-reliant solutions for critical functions like positioning, navigation, and timing (PNT), such as using terrestrial fibre optic cables, cellular systems, dead reckoning inertial navigation systems, or multi-Global Navigation Satellite System (GNSS) receivers.</w:t>
      </w:r>
      <w:r w:rsidR="00553F3E">
        <w:rPr>
          <w:rStyle w:val="EndnoteReference"/>
        </w:rPr>
        <w:endnoteReference w:id="66"/>
      </w:r>
    </w:p>
    <w:p w14:paraId="5F51E9FF" w14:textId="5550D115" w:rsidR="00DB0C32" w:rsidRPr="000E0C5F" w:rsidRDefault="00DB0C32" w:rsidP="00DB0C32">
      <w:pPr>
        <w:ind w:firstLine="720"/>
      </w:pPr>
      <w:r>
        <w:t>A state should develop robust space capabilities in addition to robust airpower, landpower, seapower, and cyberpower assets. If a military force is overly dependent on vulnerable space assets, it creates an enormous incentive for enemies to target them. By ensuring terrestrial forces can function without space access, the emerging state minimizes its centre of gravity vulnerability, thereby complicating the adversary's targeting calculus and achieving strategic dislocation.</w:t>
      </w:r>
    </w:p>
    <w:p w14:paraId="4D657B3F" w14:textId="4573F840" w:rsidR="00F518AF" w:rsidRPr="000E0C5F" w:rsidRDefault="00DB0C32" w:rsidP="00D86C48">
      <w:pPr>
        <w:ind w:firstLine="720"/>
      </w:pPr>
      <w:r>
        <w:t>This overall strategy for an emerging small state emphasizes achieving asymmetric advantage through smart partnerships and technological diversification, effectively using the indirect approach to protect its own interests (preservation) and challenge superior powers through limited, defensive actions that exploit vulnerabilities and induce dislocation.</w:t>
      </w:r>
      <w:r w:rsidR="00D86C48">
        <w:br w:type="page"/>
      </w:r>
    </w:p>
    <w:p w14:paraId="287C6A49" w14:textId="1666703B" w:rsidR="002A5335" w:rsidRPr="000E0C5F" w:rsidRDefault="006B3ABC">
      <w:pPr>
        <w:pStyle w:val="Heading1"/>
        <w:numPr>
          <w:ilvl w:val="0"/>
          <w:numId w:val="1"/>
        </w:numPr>
        <w:rPr>
          <w:rFonts w:eastAsia="Times New Roman"/>
        </w:rPr>
      </w:pPr>
      <w:bookmarkStart w:id="21" w:name="_Toc226533938"/>
      <w:r>
        <w:rPr>
          <w:rFonts w:eastAsia="Times New Roman"/>
        </w:rPr>
        <w:lastRenderedPageBreak/>
        <w:t>IRELAND IN A CONTESTED ASTROPOLITICAL ENVIRONMENT</w:t>
      </w:r>
      <w:bookmarkEnd w:id="21"/>
    </w:p>
    <w:p w14:paraId="4806452A" w14:textId="506A8A8A" w:rsidR="002A5335" w:rsidRPr="000E0C5F" w:rsidRDefault="002A5335">
      <w:pPr>
        <w:pStyle w:val="Heading2"/>
        <w:numPr>
          <w:ilvl w:val="1"/>
          <w:numId w:val="1"/>
        </w:numPr>
        <w:rPr>
          <w:rFonts w:eastAsia="Times New Roman"/>
        </w:rPr>
      </w:pPr>
      <w:bookmarkStart w:id="22" w:name="_Toc226533939"/>
      <w:r>
        <w:rPr>
          <w:rFonts w:eastAsia="Times New Roman"/>
        </w:rPr>
        <w:t>From Peripheral Neutrality to Strategic Exposure</w:t>
      </w:r>
      <w:bookmarkEnd w:id="22"/>
    </w:p>
    <w:p w14:paraId="33984383" w14:textId="2ABEA848" w:rsidR="002A5335" w:rsidRPr="000E0C5F" w:rsidRDefault="002A5335" w:rsidP="002A5335">
      <w:pPr>
        <w:rPr>
          <w:rFonts w:eastAsia="Times New Roman" w:cs="Times New Roman"/>
          <w:kern w:val="0"/>
          <w14:ligatures w14:val="none"/>
        </w:rPr>
      </w:pPr>
      <w:r>
        <w:rPr>
          <w:rFonts w:eastAsia="Times New Roman" w:cs="Times New Roman"/>
          <w:kern w:val="0"/>
          <w14:ligatures w14:val="none"/>
        </w:rPr>
        <w:t>The theoretical framework developed in Chapter 2 must now be applied to Ireland’s specific strategic circumstances. The general finding</w:t>
      </w:r>
      <w:r w:rsidR="00B44BD3">
        <w:rPr>
          <w:rFonts w:eastAsia="Times New Roman" w:cs="Times New Roman"/>
          <w:kern w:val="0"/>
          <w14:ligatures w14:val="none"/>
        </w:rPr>
        <w:t xml:space="preserve">, </w:t>
      </w:r>
      <w:r>
        <w:rPr>
          <w:rFonts w:eastAsia="Times New Roman" w:cs="Times New Roman"/>
          <w:kern w:val="0"/>
          <w14:ligatures w14:val="none"/>
        </w:rPr>
        <w:t>that geographic peripherality and military neutrality no longer provide strategic insulation</w:t>
      </w:r>
      <w:r w:rsidR="00B44BD3">
        <w:rPr>
          <w:rFonts w:eastAsia="Times New Roman" w:cs="Times New Roman"/>
          <w:kern w:val="0"/>
          <w14:ligatures w14:val="none"/>
        </w:rPr>
        <w:t xml:space="preserve">, </w:t>
      </w:r>
      <w:r>
        <w:rPr>
          <w:rFonts w:eastAsia="Times New Roman" w:cs="Times New Roman"/>
          <w:kern w:val="0"/>
          <w14:ligatures w14:val="none"/>
        </w:rPr>
        <w:t>takes on concrete and distinctive dimensions when examined through the lens of Ireland’s astropolitical exposure. Three dynamics, each more acute than Chapter 1’s general threat survey conveyed, define this exposure: the partial erosion of US strategic guarantees that Ireland’s security posture implicitly depended upon; a pattern of confirmed Russian interference operations targeting Irish institutions, infrastructure, and political discourse; and the structural vulnerability created by Ireland’s role as a hub for transatlantic digital infrastructure. Together they close whatever residual margin of strategic passivity the general security environment might once have permitted.</w:t>
      </w:r>
      <w:r>
        <w:rPr>
          <w:rStyle w:val="EndnoteReference"/>
        </w:rPr>
        <w:endnoteReference w:id="67"/>
      </w:r>
    </w:p>
    <w:p w14:paraId="7362B79A" w14:textId="0D57D707" w:rsidR="002A5335" w:rsidRPr="000E0C5F" w:rsidRDefault="002A5335" w:rsidP="009744CB">
      <w:pPr>
        <w:ind w:firstLine="720"/>
        <w:rPr>
          <w:rFonts w:eastAsia="Times New Roman" w:cs="Times New Roman"/>
          <w:kern w:val="0"/>
          <w14:ligatures w14:val="none"/>
        </w:rPr>
      </w:pPr>
      <w:r>
        <w:rPr>
          <w:rFonts w:eastAsia="Times New Roman" w:cs="Times New Roman"/>
          <w:kern w:val="0"/>
          <w14:ligatures w14:val="none"/>
        </w:rPr>
        <w:t>Because Ireland is an outward-looking nation with an open economy heavily reliant on international trade, its deep regional and global interdependencies create structural vulnerabilities.</w:t>
      </w:r>
      <w:r w:rsidR="00080016">
        <w:rPr>
          <w:rStyle w:val="EndnoteReference"/>
          <w:rFonts w:eastAsia="Times New Roman" w:cs="Times New Roman"/>
          <w:kern w:val="0"/>
          <w14:ligatures w14:val="none"/>
        </w:rPr>
        <w:endnoteReference w:id="68"/>
      </w:r>
      <w:r>
        <w:rPr>
          <w:rFonts w:eastAsia="Times New Roman" w:cs="Times New Roman"/>
          <w:kern w:val="0"/>
          <w14:ligatures w14:val="none"/>
        </w:rPr>
        <w:t xml:space="preserve"> The space domain has become a critical node of this vulnerability. Space is now an increasingly important operational domain, given Ireland’s profound reliance on space-based infrastructure for communications, global positioning systems, and economic enterprise. The contemporary threat landscape is characterized by hybrid activities and cyberattacks, such as the Russian attack against the commercial communications company Viasat, which demonstrates how state actors now target critical infrastructure in concert with conventional aggression.</w:t>
      </w:r>
      <w:r w:rsidR="00BE1236">
        <w:rPr>
          <w:rStyle w:val="EndnoteReference"/>
          <w:rFonts w:eastAsia="Times New Roman" w:cs="Times New Roman"/>
          <w:kern w:val="0"/>
          <w14:ligatures w14:val="none"/>
        </w:rPr>
        <w:endnoteReference w:id="69"/>
      </w:r>
      <w:r>
        <w:rPr>
          <w:rFonts w:eastAsia="Times New Roman" w:cs="Times New Roman"/>
          <w:kern w:val="0"/>
          <w14:ligatures w14:val="none"/>
        </w:rPr>
        <w:t xml:space="preserve"> Consequently, Ireland is not a shielded bystander but a highly exposed strategic node in a globalised network, vulnerable to systemic disruptions that exploit the seams of its technological and infrastructural dependencies.</w:t>
      </w:r>
      <w:r w:rsidR="00B44BD3">
        <w:rPr>
          <w:rStyle w:val="EndnoteReference"/>
          <w:rFonts w:eastAsia="Times New Roman" w:cs="Times New Roman"/>
          <w:kern w:val="0"/>
          <w14:ligatures w14:val="none"/>
        </w:rPr>
        <w:endnoteReference w:id="70"/>
      </w:r>
    </w:p>
    <w:p w14:paraId="1A101001" w14:textId="790558E3" w:rsidR="002A5335" w:rsidRPr="000E0C5F" w:rsidRDefault="002A5335" w:rsidP="002A5335">
      <w:pPr>
        <w:ind w:firstLine="720"/>
        <w:rPr>
          <w:rFonts w:eastAsia="Times New Roman" w:cs="Times New Roman"/>
          <w:kern w:val="0"/>
          <w14:ligatures w14:val="none"/>
        </w:rPr>
      </w:pPr>
      <w:r>
        <w:rPr>
          <w:rFonts w:eastAsia="Times New Roman" w:cs="Times New Roman"/>
          <w:kern w:val="0"/>
          <w14:ligatures w14:val="none"/>
        </w:rPr>
        <w:lastRenderedPageBreak/>
        <w:t>This strategic exposure has been compounded by a simultaneous erosion of the external security guarantees upon which Ireland has historically relied. The 2025 US National Security Strategy introduced a marked shift in transatlantic political rhetoric, with open criticism of the European Union’s political model and signals of reduced emphasis on alliance leadership.</w:t>
      </w:r>
      <w:r>
        <w:rPr>
          <w:rStyle w:val="EndnoteReference"/>
          <w:rFonts w:eastAsia="Times New Roman" w:cs="Times New Roman"/>
          <w:kern w:val="0"/>
          <w14:ligatures w14:val="none"/>
        </w:rPr>
        <w:endnoteReference w:id="71"/>
      </w:r>
      <w:r>
        <w:rPr>
          <w:rFonts w:eastAsia="Times New Roman" w:cs="Times New Roman"/>
          <w:kern w:val="0"/>
          <w14:ligatures w14:val="none"/>
        </w:rPr>
        <w:t xml:space="preserve"> While US defence institutions continue to regard European stability as a vital interest, the political volatility emanating from Washington has introduced structural uncertainty into the assumptions underpinning Ireland’s security posture. Ireland’s historical security architecture rested less on indigenous defensive capability than on the deterrent effect of US hegemony and NATO power;</w:t>
      </w:r>
      <w:r>
        <w:rPr>
          <w:rStyle w:val="EndnoteReference"/>
          <w:rFonts w:eastAsia="Times New Roman" w:cs="Times New Roman"/>
          <w:kern w:val="0"/>
          <w14:ligatures w14:val="none"/>
        </w:rPr>
        <w:endnoteReference w:id="72"/>
      </w:r>
      <w:r>
        <w:rPr>
          <w:rFonts w:eastAsia="Times New Roman" w:cs="Times New Roman"/>
          <w:kern w:val="0"/>
          <w14:ligatures w14:val="none"/>
        </w:rPr>
        <w:t xml:space="preserve"> the partial erosion of that guarantee forces a fundamental reassessment of the state’s strategic self-reliance. Crucially, Russia views the EU itself as an ideological competitor and actively exploits this transatlantic uncertainty:</w:t>
      </w:r>
      <w:r>
        <w:rPr>
          <w:rStyle w:val="EndnoteReference"/>
          <w:rFonts w:eastAsia="Times New Roman" w:cs="Times New Roman"/>
          <w:kern w:val="0"/>
          <w14:ligatures w14:val="none"/>
        </w:rPr>
        <w:endnoteReference w:id="73"/>
      </w:r>
      <w:r>
        <w:rPr>
          <w:rFonts w:eastAsia="Times New Roman" w:cs="Times New Roman"/>
          <w:kern w:val="0"/>
          <w14:ligatures w14:val="none"/>
        </w:rPr>
        <w:t xml:space="preserve"> Russian-linked actors have been confirmed conducting cyber intrusions into Irish state institutions, amplifying disinformation narratives within Irish political discourse to erode democratic trust, and conducting offshore mapping of subsea infrastructure by intelligence-collection vessels repeatedly observed in Ireland’s Exclusive Economic Zone.</w:t>
      </w:r>
      <w:r>
        <w:rPr>
          <w:rStyle w:val="EndnoteReference"/>
          <w:rFonts w:eastAsia="Times New Roman" w:cs="Times New Roman"/>
          <w:kern w:val="0"/>
          <w14:ligatures w14:val="none"/>
        </w:rPr>
        <w:endnoteReference w:id="74"/>
      </w:r>
      <w:r>
        <w:rPr>
          <w:rFonts w:eastAsia="Times New Roman" w:cs="Times New Roman"/>
          <w:kern w:val="0"/>
          <w14:ligatures w14:val="none"/>
        </w:rPr>
        <w:t xml:space="preserve"> Neutrality unsupported by the capability to detect and respond to these activities risks being perceived not as principled non-alignment, but as a permissive environment from which adversaries can threaten broader European and transatlantic systems without credible fear of attribution or consequence.</w:t>
      </w:r>
    </w:p>
    <w:p w14:paraId="2D2A85EF" w14:textId="5ED6B97A" w:rsidR="002A5335" w:rsidRPr="000E0C5F" w:rsidRDefault="002A5335">
      <w:pPr>
        <w:pStyle w:val="Heading2"/>
        <w:numPr>
          <w:ilvl w:val="1"/>
          <w:numId w:val="1"/>
        </w:numPr>
        <w:rPr>
          <w:rFonts w:eastAsia="Times New Roman"/>
        </w:rPr>
      </w:pPr>
      <w:bookmarkStart w:id="23" w:name="_Toc226533940"/>
      <w:r>
        <w:rPr>
          <w:rFonts w:eastAsia="Times New Roman"/>
        </w:rPr>
        <w:t>The Maritime-Space Nexus</w:t>
      </w:r>
      <w:bookmarkEnd w:id="23"/>
    </w:p>
    <w:p w14:paraId="5360E662" w14:textId="77777777" w:rsidR="002A5335" w:rsidRPr="000E0C5F" w:rsidRDefault="002A5335" w:rsidP="002A5335">
      <w:pPr>
        <w:rPr>
          <w:rFonts w:eastAsia="Times New Roman" w:cs="Times New Roman"/>
          <w:kern w:val="0"/>
          <w14:ligatures w14:val="none"/>
        </w:rPr>
      </w:pPr>
      <w:r>
        <w:rPr>
          <w:rFonts w:eastAsia="Times New Roman" w:cs="Times New Roman"/>
          <w:kern w:val="0"/>
          <w14:ligatures w14:val="none"/>
        </w:rPr>
        <w:t xml:space="preserve">The convergence of space reliance and geographic reality makes the maritime domain the centre of gravity for Ireland’s security strategy. Ireland possesses one of the largest Maritime Exclusive Economic Zones (EEZ) in the European Union, a vast area containing extensive sea lines of communication, energy production infrastructure, and critical undersea cables. Specifically, there </w:t>
      </w:r>
      <w:r>
        <w:rPr>
          <w:rFonts w:eastAsia="Times New Roman" w:cs="Times New Roman"/>
          <w:kern w:val="0"/>
          <w14:ligatures w14:val="none"/>
        </w:rPr>
        <w:lastRenderedPageBreak/>
        <w:t>are over twenty major undersea cables landing on Irish shores, with many more passing nearby. These cables transmit a massive volume of global digital traffic, including satellite-derived data and communications, meaning any disruption to these interconnectors could generate severe cascading consequences for the European and global economies.</w:t>
      </w:r>
      <w:r>
        <w:rPr>
          <w:rStyle w:val="EndnoteReference"/>
        </w:rPr>
        <w:endnoteReference w:id="75"/>
      </w:r>
    </w:p>
    <w:p w14:paraId="47731F28" w14:textId="3D260ACC" w:rsidR="002A5335" w:rsidRPr="000E0C5F" w:rsidRDefault="002A5335" w:rsidP="009744CB">
      <w:pPr>
        <w:ind w:firstLine="720"/>
        <w:rPr>
          <w:rFonts w:eastAsia="Times New Roman" w:cs="Times New Roman"/>
          <w:kern w:val="0"/>
          <w14:ligatures w14:val="none"/>
        </w:rPr>
      </w:pPr>
      <w:r>
        <w:rPr>
          <w:rFonts w:eastAsia="Times New Roman" w:cs="Times New Roman"/>
          <w:kern w:val="0"/>
          <w14:ligatures w14:val="none"/>
        </w:rPr>
        <w:t>Space and subsea infrastructures are inextricably linked; the protection of one requires the utilization of the other. Space-based Earth Observation and satellite communications are identified as essential enablers for generating a "Recognized Maritime Picture" and conducting maritime surveillance over such expansive areas. The necessity of integrated maritime-space awareness has been underscored by recent provocative activities, such as Russian naval operations and submarine activity near vital communication links in the Goban Spur and off Ireland's western flank. Protecting this critical undersea infrastructure cannot rely solely on limited naval patrols; it demands an integrated multi-domain approach where space assets enable persistent monitoring of the maritime approaches.</w:t>
      </w:r>
      <w:r>
        <w:rPr>
          <w:rStyle w:val="EndnoteReference"/>
        </w:rPr>
        <w:endnoteReference w:id="76"/>
      </w:r>
    </w:p>
    <w:p w14:paraId="080A55CF" w14:textId="441977FD" w:rsidR="0020596C" w:rsidRPr="000E0C5F" w:rsidRDefault="002A2F5B" w:rsidP="00A24DD9">
      <w:pPr>
        <w:ind w:firstLine="720"/>
        <w:rPr>
          <w:rFonts w:eastAsia="Times New Roman" w:cs="Times New Roman"/>
          <w:kern w:val="0"/>
          <w14:ligatures w14:val="none"/>
        </w:rPr>
      </w:pPr>
      <w:r>
        <w:rPr>
          <w:rFonts w:eastAsia="Times New Roman" w:cs="Times New Roman"/>
          <w:kern w:val="0"/>
          <w14:ligatures w14:val="none"/>
        </w:rPr>
        <w:t xml:space="preserve">To mitigate this critical terrestrial shortfall, Ireland must leverage Space-Based Earth Observation (SBEO). SBEO provides unhindered, continuous, and global surveillance, reinforcing existing capabilities by persistently monitoring large maritime areas without violating territorial sovereignty. By utilizing commercial and European governmental satellite imagery, including electro-optical, infrared, and Synthetic Aperture Radar (SAR) sensors, Ireland can penetrate cloud cover and conduct day-and-night </w:t>
      </w:r>
      <w:r w:rsidR="00A24DD9">
        <w:rPr>
          <w:rFonts w:eastAsia="Times New Roman" w:cs="Times New Roman"/>
          <w:kern w:val="0"/>
          <w14:ligatures w14:val="none"/>
        </w:rPr>
        <w:t>guaranteeing 24/7 surveillance of the maritime approaches.</w:t>
      </w:r>
      <w:r w:rsidR="00A24DD9">
        <w:rPr>
          <w:rStyle w:val="EndnoteReference"/>
        </w:rPr>
        <w:endnoteReference w:id="77"/>
      </w:r>
      <w:r w:rsidR="00A24DD9">
        <w:rPr>
          <w:rFonts w:eastAsia="Times New Roman" w:cs="Times New Roman"/>
          <w:kern w:val="0"/>
          <w14:ligatures w14:val="none"/>
        </w:rPr>
        <w:t xml:space="preserve"> </w:t>
      </w:r>
      <w:r>
        <w:rPr>
          <w:rFonts w:eastAsia="Times New Roman" w:cs="Times New Roman"/>
          <w:kern w:val="0"/>
          <w14:ligatures w14:val="none"/>
        </w:rPr>
        <w:t>Furthermore, by integrating SBEO data with Artificial Intelligence (AI) and data analytics, the Defence Forces can automate the interpretation of vast amounts of imagery to monitor maritime "patterns of life," track foreign naval deployments over the horizon, and counteract illicit grey-zone activities such as drug smuggling and infrastructure sabotage</w:t>
      </w:r>
      <w:r w:rsidR="00A24DD9">
        <w:rPr>
          <w:rFonts w:eastAsia="Times New Roman" w:cs="Times New Roman"/>
          <w:kern w:val="0"/>
          <w14:ligatures w14:val="none"/>
        </w:rPr>
        <w:t>.</w:t>
      </w:r>
      <w:r w:rsidR="00A24DD9">
        <w:rPr>
          <w:rStyle w:val="EndnoteReference"/>
        </w:rPr>
        <w:endnoteReference w:id="78"/>
      </w:r>
      <w:r w:rsidR="00A24DD9">
        <w:rPr>
          <w:rFonts w:eastAsia="Times New Roman" w:cs="Times New Roman"/>
          <w:kern w:val="0"/>
          <w14:ligatures w14:val="none"/>
        </w:rPr>
        <w:t xml:space="preserve"> </w:t>
      </w:r>
      <w:r w:rsidR="0020596C">
        <w:rPr>
          <w:rFonts w:eastAsia="Times New Roman" w:cs="Times New Roman"/>
          <w:kern w:val="0"/>
          <w14:ligatures w14:val="none"/>
        </w:rPr>
        <w:t xml:space="preserve">The </w:t>
      </w:r>
      <w:r w:rsidR="0020596C">
        <w:rPr>
          <w:rFonts w:eastAsia="Times New Roman" w:cs="Times New Roman"/>
          <w:kern w:val="0"/>
          <w14:ligatures w14:val="none"/>
        </w:rPr>
        <w:lastRenderedPageBreak/>
        <w:t xml:space="preserve">ultimate value of the SBEO cell is its ability to transform raw data into targeted action. Instead of the Naval Service conducting random, fuel-intensive patrols across empty oceans, </w:t>
      </w:r>
      <w:r w:rsidR="00A24DD9">
        <w:rPr>
          <w:rFonts w:eastAsia="Times New Roman" w:cs="Times New Roman"/>
          <w:kern w:val="0"/>
          <w14:ligatures w14:val="none"/>
        </w:rPr>
        <w:t>an</w:t>
      </w:r>
      <w:r w:rsidR="0020596C">
        <w:rPr>
          <w:rFonts w:eastAsia="Times New Roman" w:cs="Times New Roman"/>
          <w:kern w:val="0"/>
          <w14:ligatures w14:val="none"/>
        </w:rPr>
        <w:t xml:space="preserve"> SBEO cell </w:t>
      </w:r>
      <w:r w:rsidR="00A24DD9">
        <w:rPr>
          <w:rFonts w:eastAsia="Times New Roman" w:cs="Times New Roman"/>
          <w:kern w:val="0"/>
          <w14:ligatures w14:val="none"/>
        </w:rPr>
        <w:t>can</w:t>
      </w:r>
      <w:r w:rsidR="0020596C">
        <w:rPr>
          <w:rFonts w:eastAsia="Times New Roman" w:cs="Times New Roman"/>
          <w:kern w:val="0"/>
          <w14:ligatures w14:val="none"/>
        </w:rPr>
        <w:t xml:space="preserve"> act as the "eyes of the fleet." When the cell detects hostile reconnaissance near subsea cables, illegal fishing fleets, or drug smuggling vessels</w:t>
      </w:r>
      <w:r w:rsidR="00A24DD9">
        <w:rPr>
          <w:rFonts w:eastAsia="Times New Roman" w:cs="Times New Roman"/>
          <w:kern w:val="0"/>
          <w14:ligatures w14:val="none"/>
        </w:rPr>
        <w:t xml:space="preserve">, </w:t>
      </w:r>
      <w:r w:rsidR="0020596C">
        <w:rPr>
          <w:rFonts w:eastAsia="Times New Roman" w:cs="Times New Roman"/>
          <w:kern w:val="0"/>
          <w14:ligatures w14:val="none"/>
        </w:rPr>
        <w:t xml:space="preserve">it </w:t>
      </w:r>
      <w:r w:rsidR="00A24DD9">
        <w:rPr>
          <w:rFonts w:eastAsia="Times New Roman" w:cs="Times New Roman"/>
          <w:kern w:val="0"/>
          <w14:ligatures w14:val="none"/>
        </w:rPr>
        <w:t>could</w:t>
      </w:r>
      <w:r w:rsidR="0020596C">
        <w:rPr>
          <w:rFonts w:eastAsia="Times New Roman" w:cs="Times New Roman"/>
          <w:kern w:val="0"/>
          <w14:ligatures w14:val="none"/>
        </w:rPr>
        <w:t xml:space="preserve"> calculate precise coordinates. The Joint Force Commander can then deploy a Naval Service vessel, an Air Force Maritime Patrol Aircraft, or a SOF boarding team directly to the target.</w:t>
      </w:r>
      <w:r w:rsidR="0020596C">
        <w:rPr>
          <w:rStyle w:val="EndnoteReference"/>
        </w:rPr>
        <w:endnoteReference w:id="79"/>
      </w:r>
    </w:p>
    <w:p w14:paraId="0F8A91D0" w14:textId="6F5836E8" w:rsidR="0020596C" w:rsidRPr="000E0C5F" w:rsidRDefault="0020596C" w:rsidP="0020596C">
      <w:pPr>
        <w:ind w:firstLine="432"/>
        <w:rPr>
          <w:rFonts w:eastAsia="Times New Roman" w:cs="Times New Roman"/>
          <w:kern w:val="0"/>
          <w14:ligatures w14:val="none"/>
        </w:rPr>
      </w:pPr>
      <w:r>
        <w:rPr>
          <w:rFonts w:eastAsia="Times New Roman" w:cs="Times New Roman"/>
          <w:kern w:val="0"/>
          <w14:ligatures w14:val="none"/>
        </w:rPr>
        <w:t xml:space="preserve">By effectively leveraging the space domain to cue terrestrial assets, </w:t>
      </w:r>
      <w:r w:rsidR="00A24DD9">
        <w:rPr>
          <w:rFonts w:eastAsia="Times New Roman" w:cs="Times New Roman"/>
          <w:kern w:val="0"/>
          <w14:ligatures w14:val="none"/>
        </w:rPr>
        <w:t>an</w:t>
      </w:r>
      <w:r>
        <w:rPr>
          <w:rFonts w:eastAsia="Times New Roman" w:cs="Times New Roman"/>
          <w:kern w:val="0"/>
          <w14:ligatures w14:val="none"/>
        </w:rPr>
        <w:t xml:space="preserve"> SBEO Cell </w:t>
      </w:r>
      <w:r w:rsidR="00A24DD9">
        <w:rPr>
          <w:rFonts w:eastAsia="Times New Roman" w:cs="Times New Roman"/>
          <w:kern w:val="0"/>
          <w14:ligatures w14:val="none"/>
        </w:rPr>
        <w:t xml:space="preserve">could </w:t>
      </w:r>
      <w:r>
        <w:rPr>
          <w:rFonts w:eastAsia="Times New Roman" w:cs="Times New Roman"/>
          <w:kern w:val="0"/>
          <w14:ligatures w14:val="none"/>
        </w:rPr>
        <w:t>ensure that Ireland's limited military resources are deployed exactly when and where they are needed, achieving strategic and operational effects vastly out of proportion to the state's physical footprint.</w:t>
      </w:r>
    </w:p>
    <w:p w14:paraId="267F2E67" w14:textId="44036BDC" w:rsidR="002A5335" w:rsidRPr="000E0C5F" w:rsidRDefault="002A5335">
      <w:pPr>
        <w:pStyle w:val="Heading2"/>
        <w:numPr>
          <w:ilvl w:val="1"/>
          <w:numId w:val="1"/>
        </w:numPr>
        <w:rPr>
          <w:rFonts w:eastAsia="Times New Roman"/>
        </w:rPr>
      </w:pPr>
      <w:bookmarkStart w:id="24" w:name="_Toc226533941"/>
      <w:r>
        <w:rPr>
          <w:rFonts w:eastAsia="Times New Roman"/>
        </w:rPr>
        <w:t>Structural Constraints: Air and Space Capacity</w:t>
      </w:r>
      <w:bookmarkEnd w:id="24"/>
    </w:p>
    <w:p w14:paraId="7823FC55" w14:textId="6E751FD1" w:rsidR="002A5335" w:rsidRPr="000E0C5F" w:rsidRDefault="002A5335" w:rsidP="002A5335">
      <w:pPr>
        <w:rPr>
          <w:rFonts w:eastAsia="Times New Roman" w:cs="Times New Roman"/>
          <w:kern w:val="0"/>
          <w14:ligatures w14:val="none"/>
        </w:rPr>
      </w:pPr>
      <w:r>
        <w:rPr>
          <w:rFonts w:eastAsia="Times New Roman" w:cs="Times New Roman"/>
          <w:kern w:val="0"/>
          <w14:ligatures w14:val="none"/>
        </w:rPr>
        <w:t>Despite the pressing need for integrated multi-domain awareness, Ireland's ability to monitor and secure its sovereign airspace and space-linked infrastructure is severely hampered by structural and resourcing deficits. The Irish Air Corps, tasked with operating in this increasingly complex environment, faces profound limitations. Currently, the State lacks the capability to project force in the air domain, possesses no organic air defence capability, and suffers from the absence of a Recognized Air Picture (RAP). These operational shortfalls are compounded by a critical personnel crisis; the Air Corps is significantly under strength, struggling to retain a highly skilled and technical workforce in the face of competition from the commercial aviation sector.</w:t>
      </w:r>
      <w:r>
        <w:rPr>
          <w:rStyle w:val="EndnoteReference"/>
        </w:rPr>
        <w:endnoteReference w:id="80"/>
      </w:r>
    </w:p>
    <w:p w14:paraId="1A102001" w14:textId="653B495D" w:rsidR="002A5335" w:rsidRPr="000E0C5F" w:rsidRDefault="002A5335" w:rsidP="002A5335">
      <w:pPr>
        <w:ind w:firstLine="720"/>
        <w:rPr>
          <w:rFonts w:eastAsia="Times New Roman" w:cs="Times New Roman"/>
          <w:kern w:val="0"/>
          <w14:ligatures w14:val="none"/>
        </w:rPr>
      </w:pPr>
      <w:r>
        <w:rPr>
          <w:rFonts w:eastAsia="Times New Roman" w:cs="Times New Roman"/>
          <w:kern w:val="0"/>
          <w14:ligatures w14:val="none"/>
        </w:rPr>
        <w:t>The personnel deficit is compounded by a parallel and under-examined constraint: a chronic shortage of qualified technical maintainers.</w:t>
      </w:r>
      <w:r>
        <w:rPr>
          <w:rStyle w:val="EndnoteReference"/>
          <w:rFonts w:eastAsia="Times New Roman" w:cs="Times New Roman"/>
          <w:kern w:val="0"/>
          <w14:ligatures w14:val="none"/>
        </w:rPr>
        <w:endnoteReference w:id="81"/>
      </w:r>
      <w:r>
        <w:rPr>
          <w:rFonts w:eastAsia="Times New Roman" w:cs="Times New Roman"/>
          <w:kern w:val="0"/>
          <w14:ligatures w14:val="none"/>
        </w:rPr>
        <w:t xml:space="preserve"> Any expansion of Ireland’s airborne surveillance fleet to meet the growing requirements of maritime domain awareness and air domain monitoring will place acute additional strain on Air Corps maintenance capacity unless </w:t>
      </w:r>
      <w:r>
        <w:rPr>
          <w:rFonts w:eastAsia="Times New Roman" w:cs="Times New Roman"/>
          <w:kern w:val="0"/>
          <w14:ligatures w14:val="none"/>
        </w:rPr>
        <w:lastRenderedPageBreak/>
        <w:t>that expansion is matched by proportional growth in technical manpower. Existing shortages already constrain aircraft availability and limit sustained operations; the introduction of additional platforms without targeted investment in recruitment, retention, and training of technicians risks exacerbating these pressures rather than resolving them. Higher operational tempo across a larger and more complex fleet increases wear on airframes, engines, and mission systems, particularly in the demanding maritime environment. Failure to address the technician pipeline in parallel with fleet expansion means that additional aircraft will not translate into increased operational output, and may instead deepen existing readiness challenges through deferred maintenance, reduced mission-capable rates, and greater dependence on external contractors. This dynamic is directly relevant to Ireland’s nascent space domain ambitions: space operations require highly specialised technical personnel who are even more difficult to recruit and retain than conventional aviation maintainers, and the institutional architecture for a Space Squadron will be hollow without a credible plan to grow and sustain its specialist workforce.</w:t>
      </w:r>
    </w:p>
    <w:p w14:paraId="62B340C5" w14:textId="4FB56C77" w:rsidR="002A5335" w:rsidRPr="000E0C5F" w:rsidRDefault="002A5335" w:rsidP="007E2241">
      <w:pPr>
        <w:ind w:firstLine="720"/>
        <w:rPr>
          <w:rFonts w:eastAsia="Times New Roman" w:cs="Times New Roman"/>
          <w:kern w:val="0"/>
          <w14:ligatures w14:val="none"/>
        </w:rPr>
      </w:pPr>
      <w:r>
        <w:rPr>
          <w:rFonts w:eastAsia="Times New Roman" w:cs="Times New Roman"/>
          <w:kern w:val="0"/>
          <w14:ligatures w14:val="none"/>
        </w:rPr>
        <w:t>Crucially, while a strategic decision was made in July 2022 that the Air Corps should assume lead responsibility for the space domain, the organization currently lacks the institutional architecture and structures required to manage it effectively. The Air Corps possesses no specific capability development mechanisms or structures dedicated to space. To address this perilous gap in sovereign awareness across the air-space interface,</w:t>
      </w:r>
      <w:r>
        <w:rPr>
          <w:rStyle w:val="EndnoteReference"/>
        </w:rPr>
        <w:endnoteReference w:id="82"/>
      </w:r>
      <w:r>
        <w:rPr>
          <w:rFonts w:eastAsia="Times New Roman" w:cs="Times New Roman"/>
          <w:kern w:val="0"/>
          <w14:ligatures w14:val="none"/>
        </w:rPr>
        <w:t xml:space="preserve"> the </w:t>
      </w:r>
      <w:r>
        <w:rPr>
          <w:rFonts w:eastAsia="Times New Roman" w:cs="Times New Roman"/>
          <w:i/>
          <w:iCs/>
          <w:kern w:val="0"/>
          <w14:ligatures w14:val="none"/>
        </w:rPr>
        <w:t>Defence Policy Review 2024</w:t>
      </w:r>
      <w:r>
        <w:rPr>
          <w:rFonts w:eastAsia="Times New Roman" w:cs="Times New Roman"/>
          <w:kern w:val="0"/>
          <w14:ligatures w14:val="none"/>
        </w:rPr>
        <w:t xml:space="preserve"> has mandated the acquisition of a primary military radar capability as a national priority. This radar is intended to enable an Integrated Monitoring and Surveillance System (IMSS) across the maritime, land, and air domains. For Ireland to establish a credible security posture, its nascent space security strategy cannot treat space as an isolated frontier; rather, space-derived inputs and institutional structures must be deeply embedded within this planned IMSS architecture.</w:t>
      </w:r>
      <w:r>
        <w:rPr>
          <w:rStyle w:val="EndnoteReference"/>
        </w:rPr>
        <w:endnoteReference w:id="83"/>
      </w:r>
    </w:p>
    <w:p w14:paraId="1E9A3C21" w14:textId="34AED0DF" w:rsidR="002A5335" w:rsidRPr="000E0C5F" w:rsidRDefault="00994C3A">
      <w:pPr>
        <w:pStyle w:val="Heading2"/>
        <w:numPr>
          <w:ilvl w:val="1"/>
          <w:numId w:val="1"/>
        </w:numPr>
        <w:rPr>
          <w:caps/>
        </w:rPr>
      </w:pPr>
      <w:bookmarkStart w:id="25" w:name="_Toc226533942"/>
      <w:r>
        <w:lastRenderedPageBreak/>
        <w:t>Comparative Models for Small and Medium Space Powers</w:t>
      </w:r>
      <w:bookmarkEnd w:id="25"/>
    </w:p>
    <w:p w14:paraId="1E0190A3" w14:textId="7697249A" w:rsidR="002A5335" w:rsidRPr="000E0C5F" w:rsidRDefault="002A5335" w:rsidP="002A5335">
      <w:r>
        <w:t>Ireland is not alone in facing structural vulnerability within a contested space domain. For medium and emerging space powers, the fundamental strategic objective is to secure access to and use of space, often with constrained fiscal and material means compared to great powers. An examination of comparable European states, Finland, the Netherlands, Luxembourg, and Ukraine reveals differentiated but highly instructive approaches to achieving space security and strategic relevance without matching great-power expenditures.</w:t>
      </w:r>
      <w:r w:rsidR="00BE1236">
        <w:rPr>
          <w:rStyle w:val="EndnoteReference"/>
        </w:rPr>
        <w:endnoteReference w:id="84"/>
      </w:r>
    </w:p>
    <w:p w14:paraId="17C9C077" w14:textId="6DC0798E" w:rsidR="009744CB" w:rsidRPr="000E0C5F" w:rsidRDefault="002A5335">
      <w:pPr>
        <w:pStyle w:val="Heading3"/>
        <w:numPr>
          <w:ilvl w:val="2"/>
          <w:numId w:val="1"/>
        </w:numPr>
      </w:pPr>
      <w:bookmarkStart w:id="26" w:name="_Toc226533943"/>
      <w:r>
        <w:t>Finland: Territorial Defence and Integrated Resilience</w:t>
      </w:r>
      <w:bookmarkEnd w:id="26"/>
      <w:r>
        <w:t xml:space="preserve"> </w:t>
      </w:r>
    </w:p>
    <w:p w14:paraId="4A32BC0B" w14:textId="143D5349" w:rsidR="00554407" w:rsidRPr="00554407" w:rsidRDefault="00554407" w:rsidP="00554407">
      <w:pPr>
        <w:rPr>
          <w:lang w:val="en-US"/>
        </w:rPr>
      </w:pPr>
      <w:r>
        <w:rPr>
          <w:lang w:val="en-US"/>
        </w:rPr>
        <w:t>Finland’s security posture is deeply grounded in territorial defence, comprehensive security, and societal resilience. While not historically a major space power, Finland actively participates in EU space initiatives, such as the PESCO TWISTER project for space-based early warning and the EU Space Surveillance and Tracking (EU-SST) partnership. However, Finland's deliberate approach to building organic space competence has recently evolved beyond solely relying on collective alliances, as it takes unique steps to establish an autonomous national capability for space-based surveillance. The Finnish Ministry of Defense recently signed an agreement with domestic technology firm ICEYE to provide Synthetic Aperture Radar (SAR) satellites to the Finnish Defense Forces.</w:t>
      </w:r>
      <w:r>
        <w:rPr>
          <w:rStyle w:val="EndnoteReference"/>
          <w:lang w:val="en-US"/>
        </w:rPr>
        <w:endnoteReference w:id="85"/>
      </w:r>
      <w:r>
        <w:rPr>
          <w:lang w:val="en-US"/>
        </w:rPr>
        <w:t xml:space="preserve"> This acquisition strengthens Finland's independent space-based intelligence and surveillance capabilities, provides real-time situational awareness for national leadership, and supports its domestic high-tech defence industry, all while creating new opportunities to deepen cooperation with NATO allies and partners.</w:t>
      </w:r>
    </w:p>
    <w:p w14:paraId="22F090D3" w14:textId="732B13BA" w:rsidR="002A5335" w:rsidRPr="00554407" w:rsidRDefault="00554407" w:rsidP="00554407">
      <w:pPr>
        <w:ind w:firstLine="504"/>
        <w:rPr>
          <w:lang w:val="en-US"/>
        </w:rPr>
      </w:pPr>
      <w:r>
        <w:rPr>
          <w:lang w:val="en-US"/>
        </w:rPr>
        <w:t xml:space="preserve">The key lessons for Ireland are threefold. First, space services must be embedded within whole-of-society resilience planning, ensuring space is treated as a critical enabler of overall state function rather than an isolated domain. Second, redundancy in critical space-enabled </w:t>
      </w:r>
      <w:r>
        <w:rPr>
          <w:lang w:val="en-US"/>
        </w:rPr>
        <w:lastRenderedPageBreak/>
        <w:t>systems, particularly communications and Positioning, Navigation, and Timing (PNT), must be prioritised to withstand disruptions. Third, hybrid threats must be treated as continuous rather than episodic. Ireland’s Defence Policy Review 2024 acknowledges this shifting reality, concluding that Ireland’s “geographic position and policy of military neutrality no longer minimise threats posed by malign actors”. As Finland’s evolving model demonstrates—advancing from collective alliance awareness to securing its own independent space-based intelligence assets—in an era of continuous, sub-threshold adversarial pressure, credible neutrality requires credible, multi-domain resilience</w:t>
      </w:r>
      <w:r>
        <w:t>.</w:t>
      </w:r>
      <w:r w:rsidR="00BE1236">
        <w:rPr>
          <w:rStyle w:val="EndnoteReference"/>
        </w:rPr>
        <w:endnoteReference w:id="86"/>
      </w:r>
    </w:p>
    <w:p w14:paraId="111C27C6" w14:textId="34431A76" w:rsidR="009744CB" w:rsidRPr="000E0C5F" w:rsidRDefault="002A5335">
      <w:pPr>
        <w:pStyle w:val="Heading3"/>
        <w:numPr>
          <w:ilvl w:val="2"/>
          <w:numId w:val="1"/>
        </w:numPr>
      </w:pPr>
      <w:bookmarkStart w:id="27" w:name="_Toc226533944"/>
      <w:r>
        <w:t>The Netherlands: Institutionalising Defence Space</w:t>
      </w:r>
      <w:bookmarkEnd w:id="27"/>
    </w:p>
    <w:p w14:paraId="01F0BF48" w14:textId="09FCAD13" w:rsidR="002A5335" w:rsidRPr="000E0C5F" w:rsidRDefault="002A5335" w:rsidP="002A5335">
      <w:r>
        <w:t xml:space="preserve">The Netherlands provides a robust blueprint for institutionalising space within a national defence apparatus. The </w:t>
      </w:r>
      <w:r>
        <w:rPr>
          <w:i/>
          <w:iCs/>
        </w:rPr>
        <w:t>Defence Space Agenda NLD</w:t>
      </w:r>
      <w:r>
        <w:t xml:space="preserve"> formally establishes space as a distinct operational domain, directly linking it to the information-driven operations of its armed forces. Rather than pursuing massive, sovereign satellite constellations, the Netherlands prioritises institutional clarity, international cooperation, and the development of niche technological expertise.</w:t>
      </w:r>
      <w:r w:rsidR="00D67315">
        <w:rPr>
          <w:rStyle w:val="EndnoteReference"/>
        </w:rPr>
        <w:endnoteReference w:id="87"/>
      </w:r>
    </w:p>
    <w:p w14:paraId="0BE6CB5B" w14:textId="43A06474" w:rsidR="002A5335" w:rsidRPr="000E0C5F" w:rsidRDefault="002A5335" w:rsidP="009744CB">
      <w:pPr>
        <w:ind w:firstLine="720"/>
      </w:pPr>
      <w:r>
        <w:t>The Dutch approach emphasizes Space Situational Awareness (SSA) by upgrading its indigenous SMART-L Multi-Mission radar systems to detect satellites and space debris, thereby providing a highly valuable "niche capability" to NATO and EU partners. Furthermore, the Netherlands leverages a "Golden Triangle" of civil-military integration, heavily involving domestic knowledge institutes and commercial industry in its defence space architecture.</w:t>
      </w:r>
      <w:r>
        <w:rPr>
          <w:rStyle w:val="EndnoteReference"/>
        </w:rPr>
        <w:endnoteReference w:id="88"/>
      </w:r>
    </w:p>
    <w:p w14:paraId="30141D41" w14:textId="3778540B" w:rsidR="002A5335" w:rsidRPr="000E0C5F" w:rsidRDefault="002A5335" w:rsidP="009744CB">
      <w:pPr>
        <w:ind w:firstLine="720"/>
      </w:pPr>
      <w:r>
        <w:t>This model is particularly instructive for Ireland. Currently, while a strategic decision was made in July 2022 that the Irish Air Corps should assume responsibility for the space domain, the Air Corps has no structures to do so.</w:t>
      </w:r>
      <w:r w:rsidR="00F8026E">
        <w:rPr>
          <w:rStyle w:val="EndnoteReference"/>
        </w:rPr>
        <w:endnoteReference w:id="89"/>
      </w:r>
      <w:r>
        <w:t xml:space="preserve"> The key lesson from the Dutch approach is that institutionalisation precedes capability expansion. Ireland should not attempt to build material </w:t>
      </w:r>
      <w:r>
        <w:lastRenderedPageBreak/>
        <w:t>space power before establishing the structural coherence and dedicated personnel required to manage it.</w:t>
      </w:r>
      <w:r w:rsidR="00F8026E">
        <w:rPr>
          <w:rStyle w:val="EndnoteReference"/>
        </w:rPr>
        <w:endnoteReference w:id="90"/>
      </w:r>
    </w:p>
    <w:p w14:paraId="0FDE271D" w14:textId="6CC2ED04" w:rsidR="009744CB" w:rsidRPr="000E0C5F" w:rsidRDefault="002A5335">
      <w:pPr>
        <w:pStyle w:val="Heading3"/>
        <w:numPr>
          <w:ilvl w:val="2"/>
          <w:numId w:val="1"/>
        </w:numPr>
      </w:pPr>
      <w:bookmarkStart w:id="28" w:name="_Toc226533945"/>
      <w:r>
        <w:t>Luxembourg: Niche Specialization and Economic Leverage</w:t>
      </w:r>
      <w:bookmarkEnd w:id="28"/>
      <w:r>
        <w:t xml:space="preserve"> </w:t>
      </w:r>
    </w:p>
    <w:p w14:paraId="0EB3241E" w14:textId="1900F0FE" w:rsidR="002A5335" w:rsidRPr="000E0C5F" w:rsidRDefault="002A5335" w:rsidP="002A5335">
      <w:r>
        <w:t>Luxembourg demonstrates how a territorially small state can achieve profound strategic agency in space through niche specialization, regulatory leadership, and economic integration. Rather than attempting to compete in scale, Luxembourg leveraged its institutional agility to craft permissive legal frameworks, such as establishing itself as a European hub for the commercial exploitation of space resources. By investing heavily in public-private partnerships, such as the satellite communications giant SES, Luxembourg rooted its space capacity in economic robustness and commercial ecosystems to secure outsized international influence.</w:t>
      </w:r>
      <w:r>
        <w:rPr>
          <w:rStyle w:val="EndnoteReference"/>
        </w:rPr>
        <w:endnoteReference w:id="91"/>
      </w:r>
    </w:p>
    <w:p w14:paraId="41A30346" w14:textId="05FF1F88" w:rsidR="009744CB" w:rsidRPr="000E0C5F" w:rsidRDefault="002A5335" w:rsidP="009744CB">
      <w:pPr>
        <w:ind w:firstLine="720"/>
      </w:pPr>
      <w:r>
        <w:t>Ireland shares a similar potential for economic leverage.</w:t>
      </w:r>
      <w:r w:rsidR="000204F2">
        <w:rPr>
          <w:rStyle w:val="EndnoteReference"/>
        </w:rPr>
        <w:endnoteReference w:id="92"/>
      </w:r>
      <w:r>
        <w:t xml:space="preserve"> As an outward-looking nation with a digitally intensive economy, Ireland hosts critical digital infrastructure, hyperscaler investments, and extensive sea lines of communication. Crucially, over 20 major undersea data cables land on Irish shores, carrying a vast amount of global digital traffic, including satellite-derived data. Given this maritime-space nexus, Ireland's potential space power niche lies in maritime-space analytic fusion, GNSS interference monitoring, the protection of subsea infrastructure, and space-cyber integration. Luxembourg’s lesson for Ireland is clear: small states achieve strategic relevance through specialization, not replication.</w:t>
      </w:r>
    </w:p>
    <w:p w14:paraId="5D124135" w14:textId="512BC722" w:rsidR="00767B61" w:rsidRPr="000E0C5F" w:rsidRDefault="00767B61">
      <w:pPr>
        <w:pStyle w:val="Heading3"/>
        <w:numPr>
          <w:ilvl w:val="2"/>
          <w:numId w:val="1"/>
        </w:numPr>
      </w:pPr>
      <w:bookmarkStart w:id="29" w:name="_Toc226533946"/>
      <w:r>
        <w:t>New Zealand: Scale-Appropriate Institutionalisation and Alliances</w:t>
      </w:r>
      <w:bookmarkEnd w:id="29"/>
      <w:r>
        <w:t xml:space="preserve"> </w:t>
      </w:r>
    </w:p>
    <w:p w14:paraId="11DE1AEE" w14:textId="2036F954" w:rsidR="00767B61" w:rsidRPr="000E0C5F" w:rsidRDefault="00767B61" w:rsidP="00767B61">
      <w:r>
        <w:t xml:space="preserve">New Zealand provides a highly relevant model for Ireland, demonstrating how a small state with a moderately sized military can effectively institutionalise space operations. Recognizing its reliance on space-based capabilities and the increasing vulnerabilities of the domain, the Royal New Zealand Air Force (RNZAF) recently established No. 62 Squadron, a unit entirely dedicated </w:t>
      </w:r>
      <w:r>
        <w:lastRenderedPageBreak/>
        <w:t>to space operations. Rather than pursuing massive sovereign satellite constellations, New Zealand focuses on an approach that is "scale-appropriate," manning the squadron with just over a dozen dedicated personnel. The squadron's primary operational focus is Space Domain Awareness (SDA), utilizing ground-based sensors, optical telescopes, and passive radio frequency tracking to monitor satellite movements, space weather, and potential nefarious activities. Crucially, New Zealand leverages its strategic geography by partnering with commercial entities like Leo Labs and integrating into multinational collaborative ventures, such as the Joint Commercial Operations (JCO) initiative. This approach allows New Zealand to punch above its weight, contributing meaningful ground-based monitoring to its allies while actively securing its own space-reliant infrastructure.</w:t>
      </w:r>
      <w:r>
        <w:rPr>
          <w:rStyle w:val="EndnoteReference"/>
        </w:rPr>
        <w:endnoteReference w:id="93"/>
      </w:r>
    </w:p>
    <w:p w14:paraId="1406763E" w14:textId="5C5E98E8" w:rsidR="00646E5A" w:rsidRPr="000E0C5F" w:rsidRDefault="00646E5A">
      <w:pPr>
        <w:pStyle w:val="Heading3"/>
        <w:numPr>
          <w:ilvl w:val="2"/>
          <w:numId w:val="1"/>
        </w:numPr>
      </w:pPr>
      <w:bookmarkStart w:id="30" w:name="_Toc226533947"/>
      <w:r>
        <w:t>The Ukraine Model: Commercial Value and Vulnerability</w:t>
      </w:r>
      <w:bookmarkEnd w:id="30"/>
      <w:r>
        <w:t xml:space="preserve"> </w:t>
      </w:r>
    </w:p>
    <w:p w14:paraId="1B624AB3" w14:textId="69D8C9E6" w:rsidR="00FB2E0E" w:rsidRPr="000E0C5F" w:rsidRDefault="00646E5A" w:rsidP="006E4A26">
      <w:r>
        <w:t xml:space="preserve">The ongoing war in Ukraine serves as a definitive validation of the commercial integration strategy for emerging space powers. Ukraine effectively bypassed the prohibitive costs and extended timelines of indigenous capability development by aggressively leveraging Western commercial space services for both Intelligence, Surveillance, and Reconnaissance (ISR) and Satellite Communications (SATCOM). This rapid integration of commercial off-the-shelf capabilities fundamentally enhanced Ukrainian warfighting and situational awareness, proving that an emerging power can achieve operational parity in space without owning sovereign constellations. However, the conflict also exposed severe vulnerabilities inherent to commercial reliance. The early cyberattack on the Viasat network demonstrated that commercial providers are priority targets for reversible, non-kinetic attacks in the opening phases of a conflict. Furthermore, Ukraine's heavy reliance on Starlink highlighted the operational risks of depending on a single commercial provider without formalized, contingency-tested contractual guarantees, </w:t>
      </w:r>
      <w:r>
        <w:lastRenderedPageBreak/>
        <w:t>leading to uncertainties regarding service provision during critical military operations. For Ireland, the lesson is unequivocal: commercial outsourcing is a highly effective force multiplier, but it must be underpinned by diversified architectures and robust, legally binding Service Level Agreements (SLAs) that explicitly dictate responses to hostile interference.</w:t>
      </w:r>
      <w:r>
        <w:rPr>
          <w:rStyle w:val="EndnoteReference"/>
        </w:rPr>
        <w:endnoteReference w:id="94"/>
      </w:r>
    </w:p>
    <w:p w14:paraId="0AD94D46" w14:textId="782B037B" w:rsidR="009744CB" w:rsidRPr="000E0C5F" w:rsidRDefault="002A5335">
      <w:pPr>
        <w:pStyle w:val="Heading2"/>
        <w:numPr>
          <w:ilvl w:val="1"/>
          <w:numId w:val="1"/>
        </w:numPr>
        <w:rPr>
          <w:rFonts w:eastAsia="Times New Roman"/>
        </w:rPr>
      </w:pPr>
      <w:bookmarkStart w:id="31" w:name="_Toc226533948"/>
      <w:r>
        <w:rPr>
          <w:rFonts w:eastAsia="Times New Roman"/>
        </w:rPr>
        <w:t>A Coherent Irish Space Security Model</w:t>
      </w:r>
      <w:bookmarkEnd w:id="31"/>
    </w:p>
    <w:p w14:paraId="38A2D824" w14:textId="6BDA8571" w:rsidR="002A5335" w:rsidRPr="000E0C5F" w:rsidRDefault="002A5335" w:rsidP="002A5335">
      <w:pPr>
        <w:rPr>
          <w:rFonts w:eastAsia="Times New Roman" w:cs="Times New Roman"/>
          <w:kern w:val="0"/>
          <w14:ligatures w14:val="none"/>
        </w:rPr>
      </w:pPr>
      <w:r>
        <w:rPr>
          <w:rFonts w:eastAsia="Times New Roman" w:cs="Times New Roman"/>
          <w:kern w:val="0"/>
          <w14:ligatures w14:val="none"/>
        </w:rPr>
        <w:t>For a resource-constrained emerging space power like Ireland, attempting to achieve general or persistent command of space through massive capital investment is both fiscally impossible and strategically unsound. Instead, a coherent Irish space security model must be rooted in an asymmetric, indirect approach. This overall strategy for an emerging small state emphasizes achieving asymmetric advantage through smart partnerships and technological diversification, effectively using the indirect approach to protect its own interests and challenge superior powers through limited, defensive actions that exploit vulnerabilities and induce dislocation. The following section applies these principles specifically to Ireland’s institutional, geographic, and political context. Chapter 4 then abstracts these findings into a generalizable blueprint applicable to other small and emerging space powers.</w:t>
      </w:r>
    </w:p>
    <w:p w14:paraId="5F89009E" w14:textId="77777777" w:rsidR="00D86C48" w:rsidRDefault="002A5335" w:rsidP="00D86C48">
      <w:pPr>
        <w:keepNext/>
        <w:ind w:firstLine="720"/>
      </w:pPr>
      <w:r>
        <w:rPr>
          <w:rFonts w:eastAsia="Times New Roman" w:cs="Times New Roman"/>
          <w:kern w:val="0"/>
          <w14:ligatures w14:val="none"/>
        </w:rPr>
        <w:t xml:space="preserve">By adopting the indirect approach, Ireland avoids direct, symmetric competition, where it is structurally disadvantaged, and focuses instead on manoeuvring to secure a strategically advantageous situation. Rather than engaging in an arms race or pursuing comprehensive indigenous satellite constellations, Ireland can generate strategic weight through a multi-pillared approach: establishing institutional architecture, leveraging co-operation and alliances, integrating commercial capabilities, developing highly specialised niche capabilities, and ensuring all-force resiliency. This framework allows Ireland to mitigate its vulnerabilities, protect its celestial lines of communication (CLOCs), and achieve military objectives out of </w:t>
      </w:r>
      <w:r>
        <w:rPr>
          <w:rFonts w:eastAsia="Times New Roman" w:cs="Times New Roman"/>
          <w:kern w:val="0"/>
          <w14:ligatures w14:val="none"/>
        </w:rPr>
        <w:lastRenderedPageBreak/>
        <w:t>proportion to its physical footprint.</w:t>
      </w:r>
      <w:r w:rsidR="00D86C48" w:rsidRPr="00D86C48">
        <w:rPr>
          <w:noProof/>
        </w:rPr>
        <w:t xml:space="preserve"> </w:t>
      </w:r>
      <w:r w:rsidR="00D86C48">
        <w:rPr>
          <w:noProof/>
        </w:rPr>
        <w:drawing>
          <wp:inline distT="0" distB="0" distL="0" distR="0" wp14:anchorId="47DDD37C" wp14:editId="4821E52F">
            <wp:extent cx="6325704" cy="3558208"/>
            <wp:effectExtent l="0" t="0" r="0" b="4445"/>
            <wp:docPr id="9757204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2045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331893" cy="3561689"/>
                    </a:xfrm>
                    <a:prstGeom prst="rect">
                      <a:avLst/>
                    </a:prstGeom>
                  </pic:spPr>
                </pic:pic>
              </a:graphicData>
            </a:graphic>
          </wp:inline>
        </w:drawing>
      </w:r>
    </w:p>
    <w:p w14:paraId="75653184" w14:textId="3CFAE713" w:rsidR="00D86C48" w:rsidRPr="000E0C5F" w:rsidRDefault="00D86C48" w:rsidP="00D86C48">
      <w:pPr>
        <w:pStyle w:val="Caption"/>
        <w:rPr>
          <w:rFonts w:eastAsia="Times New Roman" w:cs="Times New Roman"/>
          <w:kern w:val="0"/>
          <w14:ligatures w14:val="none"/>
        </w:rPr>
      </w:pPr>
      <w:r>
        <w:t xml:space="preserve">Figure </w:t>
      </w:r>
      <w:r>
        <w:fldChar w:fldCharType="begin"/>
      </w:r>
      <w:r>
        <w:instrText xml:space="preserve"> SEQ Figure \* ARABIC </w:instrText>
      </w:r>
      <w:r>
        <w:fldChar w:fldCharType="separate"/>
      </w:r>
      <w:r w:rsidR="0058581F">
        <w:rPr>
          <w:noProof/>
        </w:rPr>
        <w:t>2</w:t>
      </w:r>
      <w:r>
        <w:fldChar w:fldCharType="end"/>
      </w:r>
      <w:r>
        <w:t xml:space="preserve"> Strategic Pillars for Ireland's Space Security Model</w:t>
      </w:r>
    </w:p>
    <w:p w14:paraId="56D64879" w14:textId="146D46FC" w:rsidR="009744CB" w:rsidRPr="000E0C5F" w:rsidRDefault="002A5335">
      <w:pPr>
        <w:pStyle w:val="Heading3"/>
        <w:numPr>
          <w:ilvl w:val="2"/>
          <w:numId w:val="1"/>
        </w:numPr>
        <w:rPr>
          <w:rFonts w:eastAsia="Times New Roman"/>
        </w:rPr>
      </w:pPr>
      <w:bookmarkStart w:id="32" w:name="_Toc226533949"/>
      <w:r>
        <w:rPr>
          <w:rFonts w:eastAsia="Times New Roman"/>
        </w:rPr>
        <w:t>Institutional Architecture</w:t>
      </w:r>
      <w:bookmarkEnd w:id="32"/>
      <w:r>
        <w:rPr>
          <w:rFonts w:eastAsia="Times New Roman"/>
        </w:rPr>
        <w:t xml:space="preserve"> </w:t>
      </w:r>
    </w:p>
    <w:p w14:paraId="35D95AAA" w14:textId="77C2F197" w:rsidR="00583424" w:rsidRPr="000E0C5F" w:rsidRDefault="00583424" w:rsidP="00583424">
      <w:pPr>
        <w:rPr>
          <w:rFonts w:eastAsia="Times New Roman" w:cs="Times New Roman"/>
          <w:kern w:val="0"/>
          <w14:ligatures w14:val="none"/>
        </w:rPr>
      </w:pPr>
      <w:r>
        <w:rPr>
          <w:rFonts w:eastAsia="Times New Roman" w:cs="Times New Roman"/>
          <w:kern w:val="0"/>
          <w14:ligatures w14:val="none"/>
        </w:rPr>
        <w:t>Before a state can expand its operational capabilities, it must establish a coherent institutional architecture capable of managing the complexities of the space domain. The Report of the Commission on Defence Forces (CODF) identified that while the Irish Air Corps is the lead formation for the space domain, it currently lacks the dedicated structures, personnel, and institutional architecture required to fulfil this mandate. The foundational step in Ireland's space strategy is therefore the transformation of the Air Corps into a modern Irish Air Force, enjoying parity of esteem with the Army and Naval Service.</w:t>
      </w:r>
      <w:r>
        <w:rPr>
          <w:rStyle w:val="EndnoteReference"/>
        </w:rPr>
        <w:endnoteReference w:id="95"/>
      </w:r>
    </w:p>
    <w:p w14:paraId="6E780718" w14:textId="3C1A36F3" w:rsidR="00583424" w:rsidRPr="000E0C5F" w:rsidRDefault="00583424" w:rsidP="00583424">
      <w:pPr>
        <w:ind w:firstLine="720"/>
        <w:rPr>
          <w:rFonts w:eastAsia="Times New Roman" w:cs="Times New Roman"/>
          <w:kern w:val="0"/>
          <w14:ligatures w14:val="none"/>
        </w:rPr>
      </w:pPr>
      <w:r>
        <w:rPr>
          <w:rFonts w:eastAsia="Times New Roman" w:cs="Times New Roman"/>
          <w:kern w:val="0"/>
          <w14:ligatures w14:val="none"/>
        </w:rPr>
        <w:t>To rectify these structural deficits and provide clear direction, the Air Corps must first develop and publish a coherent National Space Strategy for Security and Defence.</w:t>
      </w:r>
      <w:r w:rsidR="002A6D3D">
        <w:rPr>
          <w:rStyle w:val="EndnoteReference"/>
          <w:rFonts w:eastAsia="Times New Roman" w:cs="Times New Roman"/>
          <w:kern w:val="0"/>
          <w14:ligatures w14:val="none"/>
        </w:rPr>
        <w:endnoteReference w:id="96"/>
      </w:r>
      <w:r>
        <w:rPr>
          <w:rFonts w:eastAsia="Times New Roman" w:cs="Times New Roman"/>
          <w:kern w:val="0"/>
          <w14:ligatures w14:val="none"/>
        </w:rPr>
        <w:t xml:space="preserve"> Once this strategic vision is established, it must be immediately followed by the publication of a formal </w:t>
      </w:r>
      <w:r>
        <w:rPr>
          <w:rFonts w:eastAsia="Times New Roman" w:cs="Times New Roman"/>
          <w:kern w:val="0"/>
          <w14:ligatures w14:val="none"/>
        </w:rPr>
        <w:lastRenderedPageBreak/>
        <w:t>space doctrine document. Doctrine interprets ideas about operating by combining validated conceptual ideas into functional contemporary guidance; publishing a space doctrine will provide the Defence Forces with the coherent philosophy, language, and framework essential to support future multi-domain planning and operations.</w:t>
      </w:r>
      <w:r w:rsidR="002A6D3D">
        <w:rPr>
          <w:rStyle w:val="EndnoteReference"/>
          <w:rFonts w:eastAsia="Times New Roman" w:cs="Times New Roman"/>
          <w:kern w:val="0"/>
          <w14:ligatures w14:val="none"/>
        </w:rPr>
        <w:endnoteReference w:id="97"/>
      </w:r>
    </w:p>
    <w:p w14:paraId="0DB50DAC" w14:textId="665AC94A" w:rsidR="00583424" w:rsidRPr="000E0C5F" w:rsidRDefault="00583424" w:rsidP="00583424">
      <w:pPr>
        <w:ind w:firstLine="720"/>
        <w:rPr>
          <w:rFonts w:eastAsia="Times New Roman" w:cs="Times New Roman"/>
          <w:kern w:val="0"/>
          <w14:ligatures w14:val="none"/>
        </w:rPr>
      </w:pPr>
      <w:r>
        <w:rPr>
          <w:rFonts w:eastAsia="Times New Roman" w:cs="Times New Roman"/>
          <w:kern w:val="0"/>
          <w14:ligatures w14:val="none"/>
        </w:rPr>
        <w:t>To operationalize this strategy and doctrine, the institutionalisation process requires the formal establishment of a dedicated Space Squadron. To ensure that space operations receive the high-level advocacy, resourcing, and oversight necessary for a newly recognized operational domain, this Space Squadron should report directly to the proposed Deputy Chief of the Air Force (DCAF). By elevating the command-and-control relationship directly to the DCAF level, rather than burying the unit within legacy operational or support wings, the Air Force guarantees that space functions as a priority enabler.</w:t>
      </w:r>
      <w:r w:rsidR="002A6D3D">
        <w:rPr>
          <w:rStyle w:val="EndnoteReference"/>
          <w:rFonts w:eastAsia="Times New Roman" w:cs="Times New Roman"/>
          <w:kern w:val="0"/>
          <w14:ligatures w14:val="none"/>
        </w:rPr>
        <w:endnoteReference w:id="98"/>
      </w:r>
    </w:p>
    <w:p w14:paraId="3E73ADD8" w14:textId="6066559A" w:rsidR="002A5335" w:rsidRPr="000E0C5F" w:rsidRDefault="00583424" w:rsidP="00583424">
      <w:pPr>
        <w:ind w:firstLine="432"/>
        <w:rPr>
          <w:rFonts w:eastAsia="Times New Roman" w:cs="Times New Roman"/>
          <w:kern w:val="0"/>
          <w14:ligatures w14:val="none"/>
        </w:rPr>
      </w:pPr>
      <w:r>
        <w:rPr>
          <w:rFonts w:eastAsia="Times New Roman" w:cs="Times New Roman"/>
          <w:kern w:val="0"/>
          <w14:ligatures w14:val="none"/>
        </w:rPr>
        <w:t>Furthermore, structural integration must occur across government, linking the Defence Forces with the National Cyber Security Centre (NCSC) and the Department of Enterprise, Trade and Employment, ensuring that military space policy is fully congruent with national cyber defence and commercial enterprise strategies. Institutional clarity precedes capability; it is the vital nervous system required to execute the indirect approach.</w:t>
      </w:r>
      <w:r w:rsidR="00104355">
        <w:rPr>
          <w:rStyle w:val="EndnoteReference"/>
          <w:rFonts w:eastAsia="Times New Roman" w:cs="Times New Roman"/>
          <w:kern w:val="0"/>
          <w14:ligatures w14:val="none"/>
        </w:rPr>
        <w:endnoteReference w:id="99"/>
      </w:r>
    </w:p>
    <w:p w14:paraId="1B000001" w14:textId="1B18B117" w:rsidR="00E266AA" w:rsidRPr="000E0C5F" w:rsidRDefault="00000000">
      <w:pPr>
        <w:pStyle w:val="Heading4"/>
        <w:numPr>
          <w:ilvl w:val="3"/>
          <w:numId w:val="1"/>
        </w:numPr>
        <w:rPr>
          <w:rFonts w:eastAsia="Times New Roman"/>
        </w:rPr>
      </w:pPr>
      <w:r>
        <w:rPr>
          <w:rFonts w:eastAsia="Times New Roman"/>
        </w:rPr>
        <w:t>Space Squadron: Scale-Appropriate Organization</w:t>
      </w:r>
    </w:p>
    <w:p w14:paraId="6A9E4B1C" w14:textId="3B8C7BB1" w:rsidR="0020596C" w:rsidRPr="000E0C5F" w:rsidRDefault="00583424" w:rsidP="00730AD6">
      <w:pPr>
        <w:rPr>
          <w:rFonts w:eastAsia="Times New Roman" w:cs="Times New Roman"/>
          <w:kern w:val="0"/>
          <w14:ligatures w14:val="none"/>
        </w:rPr>
      </w:pPr>
      <w:r>
        <w:rPr>
          <w:rFonts w:eastAsia="Times New Roman" w:cs="Times New Roman"/>
          <w:kern w:val="0"/>
          <w14:ligatures w14:val="none"/>
        </w:rPr>
        <w:t xml:space="preserve">To ensure the Space Squadron is both effective and fiscally realistic, its organizational structure must be scale-appropriate, mirroring the model implemented by the Royal New Zealand Air Force referenced above. Rather than a massive bureaucracy, the Irish Space Squadron should initially be established with approximately 12 to 15 highly specialised personnel. To ensure the Space Squadron operates efficiently without demanding a massive bureaucratic footprint, it </w:t>
      </w:r>
      <w:r>
        <w:rPr>
          <w:rFonts w:eastAsia="Times New Roman" w:cs="Times New Roman"/>
          <w:kern w:val="0"/>
          <w14:ligatures w14:val="none"/>
        </w:rPr>
        <w:lastRenderedPageBreak/>
        <w:t>should be divided into four highly specialised, interdependent functional cells. Each cell plays a distinct role in executing the asymmetric strategy of "intelligent integration."</w:t>
      </w:r>
      <w:r w:rsidR="005D7B67">
        <w:rPr>
          <w:rStyle w:val="EndnoteReference"/>
          <w:rFonts w:eastAsia="Times New Roman" w:cs="Times New Roman"/>
          <w:kern w:val="0"/>
          <w14:ligatures w14:val="none"/>
        </w:rPr>
        <w:endnoteReference w:id="100"/>
      </w:r>
    </w:p>
    <w:p w14:paraId="55B46EAD" w14:textId="4DFC4B58" w:rsidR="0020596C" w:rsidRPr="000E0C5F" w:rsidRDefault="0020596C">
      <w:pPr>
        <w:pStyle w:val="ListParagraph"/>
        <w:numPr>
          <w:ilvl w:val="0"/>
          <w:numId w:val="2"/>
        </w:numPr>
        <w:ind w:left="720"/>
        <w:rPr>
          <w:rFonts w:eastAsia="Times New Roman" w:cs="Times New Roman"/>
          <w:kern w:val="0"/>
          <w14:ligatures w14:val="none"/>
        </w:rPr>
      </w:pPr>
      <w:r>
        <w:rPr>
          <w:rFonts w:eastAsia="Times New Roman" w:cs="Times New Roman"/>
          <w:kern w:val="0"/>
          <w14:ligatures w14:val="none"/>
        </w:rPr>
        <w:t>Space Domain Awareness (SDA) and Operations Cell This cell serves as the operational core of the squadron. A state cannot protect what it cannot see; therefore, this cell is tasked with building and maintaining a Recognized Space Picture (RSP). It will fuse tracking data from commercial SDA networks, allied data-sharing agreements, and the State’s planned primary military radar. The cell will monitor space weather, track orbital debris, and detect hostile, grey-zone interference against critical space assets, providing vital early warning to the Joint Force Commander.</w:t>
      </w:r>
      <w:r w:rsidR="005D7B67">
        <w:rPr>
          <w:rStyle w:val="EndnoteReference"/>
          <w:rFonts w:eastAsia="Times New Roman" w:cs="Times New Roman"/>
          <w:kern w:val="0"/>
          <w14:ligatures w14:val="none"/>
        </w:rPr>
        <w:endnoteReference w:id="101"/>
      </w:r>
    </w:p>
    <w:p w14:paraId="0606C635" w14:textId="143A93DB" w:rsidR="0020596C" w:rsidRPr="000E0C5F" w:rsidRDefault="0020596C">
      <w:pPr>
        <w:pStyle w:val="ListParagraph"/>
        <w:numPr>
          <w:ilvl w:val="0"/>
          <w:numId w:val="2"/>
        </w:numPr>
        <w:ind w:left="720"/>
        <w:rPr>
          <w:rFonts w:eastAsia="Times New Roman" w:cs="Times New Roman"/>
          <w:kern w:val="0"/>
          <w14:ligatures w14:val="none"/>
        </w:rPr>
      </w:pPr>
      <w:r>
        <w:rPr>
          <w:rFonts w:eastAsia="Times New Roman" w:cs="Times New Roman"/>
          <w:kern w:val="0"/>
          <w14:ligatures w14:val="none"/>
        </w:rPr>
        <w:t>Commercial Integration and Procurement Cell This cell operationalizes the "minimalist option" of space strategy by shifting the Defence Forces from a paradigm of owning hardware to leasing services. It acts as the centralized hub for acquiring "space-as-a-service," managing Service Level Agreements (SLAs) with the commercial "New Space" sector.</w:t>
      </w:r>
      <w:r w:rsidR="005D7B67">
        <w:rPr>
          <w:rStyle w:val="EndnoteReference"/>
          <w:rFonts w:eastAsia="Times New Roman" w:cs="Times New Roman"/>
          <w:kern w:val="0"/>
          <w14:ligatures w14:val="none"/>
        </w:rPr>
        <w:endnoteReference w:id="102"/>
      </w:r>
      <w:r>
        <w:rPr>
          <w:rFonts w:eastAsia="Times New Roman" w:cs="Times New Roman"/>
          <w:kern w:val="0"/>
          <w14:ligatures w14:val="none"/>
        </w:rPr>
        <w:t xml:space="preserve"> This includes assisting in the procurement of high-throughput satellite communications (SATCOM), purchasing raw, high-resolution commercial </w:t>
      </w:r>
      <w:r w:rsidR="00454755">
        <w:rPr>
          <w:rFonts w:eastAsia="Times New Roman" w:cs="Times New Roman"/>
          <w:kern w:val="0"/>
          <w14:ligatures w14:val="none"/>
        </w:rPr>
        <w:t>space-based</w:t>
      </w:r>
      <w:r>
        <w:rPr>
          <w:rFonts w:eastAsia="Times New Roman" w:cs="Times New Roman"/>
          <w:kern w:val="0"/>
          <w14:ligatures w14:val="none"/>
        </w:rPr>
        <w:t xml:space="preserve"> imagery assets, and identifying commercial partners and dual use technology opportunities.</w:t>
      </w:r>
      <w:r w:rsidR="003E3A6E">
        <w:rPr>
          <w:rStyle w:val="EndnoteReference"/>
          <w:rFonts w:eastAsia="Times New Roman" w:cs="Times New Roman"/>
          <w:kern w:val="0"/>
          <w14:ligatures w14:val="none"/>
        </w:rPr>
        <w:endnoteReference w:id="103"/>
      </w:r>
    </w:p>
    <w:p w14:paraId="3753A7DB" w14:textId="63983B82" w:rsidR="0020596C" w:rsidRPr="000E0C5F" w:rsidRDefault="0020596C">
      <w:pPr>
        <w:pStyle w:val="ListParagraph"/>
        <w:numPr>
          <w:ilvl w:val="0"/>
          <w:numId w:val="2"/>
        </w:numPr>
        <w:ind w:left="720"/>
        <w:rPr>
          <w:rFonts w:eastAsia="Times New Roman" w:cs="Times New Roman"/>
          <w:kern w:val="0"/>
          <w14:ligatures w14:val="none"/>
        </w:rPr>
      </w:pPr>
      <w:r>
        <w:rPr>
          <w:rFonts w:eastAsia="Times New Roman" w:cs="Times New Roman"/>
          <w:kern w:val="0"/>
          <w14:ligatures w14:val="none"/>
        </w:rPr>
        <w:t>Policy and Alliance Coordination Cell This cell manages Ireland’s strategic engagement with the European Union and NATO Partnership for Peace (PfP) frameworks. It will coordinate the Defence Forces' participation in European Defence Agency (EDA) forums and Permanent Structured Cooperation (PESCO) space projects, such as the European Military Space Surveillance Awareness Network (EU-SSA-N) and the Common Hub for Governmental Imagery (CoHGI).</w:t>
      </w:r>
      <w:r>
        <w:rPr>
          <w:rStyle w:val="EndnoteReference"/>
        </w:rPr>
        <w:endnoteReference w:id="104"/>
      </w:r>
    </w:p>
    <w:p w14:paraId="76AB2B2C" w14:textId="73C69240" w:rsidR="0020596C" w:rsidRPr="000E0C5F" w:rsidRDefault="0020596C">
      <w:pPr>
        <w:pStyle w:val="ListParagraph"/>
        <w:numPr>
          <w:ilvl w:val="0"/>
          <w:numId w:val="2"/>
        </w:numPr>
        <w:ind w:left="720"/>
        <w:rPr>
          <w:rFonts w:eastAsia="Times New Roman" w:cs="Times New Roman"/>
          <w:kern w:val="0"/>
          <w14:ligatures w14:val="none"/>
        </w:rPr>
      </w:pPr>
      <w:r>
        <w:rPr>
          <w:rFonts w:eastAsia="Times New Roman" w:cs="Times New Roman"/>
          <w:kern w:val="0"/>
          <w14:ligatures w14:val="none"/>
        </w:rPr>
        <w:lastRenderedPageBreak/>
        <w:t>Space-Based Earth Observation (SBEO) Cell: The Joint ISR Engine While the other cells manage the space environment and infrastructure, the SBEO Cell is responsible for delivering direct, actionable intelligence from space to the terrestrial warfighter. Its mandate is to provide comprehensive Intelligence, Surveillance, and Reconnaissance (ISR) to all branches of the Joint Force; the Army, Air Force, Navy, and Special Operations Forces.</w:t>
      </w:r>
      <w:r w:rsidR="003E3A6E">
        <w:rPr>
          <w:rStyle w:val="EndnoteReference"/>
          <w:rFonts w:eastAsia="Times New Roman" w:cs="Times New Roman"/>
          <w:kern w:val="0"/>
          <w14:ligatures w14:val="none"/>
        </w:rPr>
        <w:endnoteReference w:id="105"/>
      </w:r>
    </w:p>
    <w:p w14:paraId="26E4687E" w14:textId="179C1425" w:rsidR="009744CB" w:rsidRPr="000E0C5F" w:rsidRDefault="002A5335">
      <w:pPr>
        <w:pStyle w:val="Heading3"/>
        <w:numPr>
          <w:ilvl w:val="2"/>
          <w:numId w:val="1"/>
        </w:numPr>
        <w:rPr>
          <w:rFonts w:eastAsia="Times New Roman"/>
        </w:rPr>
      </w:pPr>
      <w:bookmarkStart w:id="33" w:name="_Toc226533950"/>
      <w:r>
        <w:rPr>
          <w:rFonts w:eastAsia="Times New Roman"/>
        </w:rPr>
        <w:t>Co-operation and Alliances.</w:t>
      </w:r>
      <w:bookmarkEnd w:id="33"/>
    </w:p>
    <w:p w14:paraId="76E11128" w14:textId="734BC960" w:rsidR="002A5335" w:rsidRPr="000E0C5F" w:rsidRDefault="002A5335" w:rsidP="009744CB">
      <w:pPr>
        <w:rPr>
          <w:rFonts w:eastAsia="Times New Roman" w:cs="Times New Roman"/>
          <w:kern w:val="0"/>
          <w14:ligatures w14:val="none"/>
        </w:rPr>
      </w:pPr>
      <w:r>
        <w:rPr>
          <w:rFonts w:eastAsia="Times New Roman" w:cs="Times New Roman"/>
          <w:kern w:val="0"/>
          <w14:ligatures w14:val="none"/>
        </w:rPr>
        <w:t>For a small state with constrained indigenous capacity, the most powerful instruments for expanding space capability are external: the allied architectures and commercial services that allow Ireland to access capabilities it could never afford to build alone. Although alliances and commercial integration operate through different mechanisms, one through political commitment and mutual obligation, the other through contract and market access, they share a common strategic logic in Ireland’s context. Both convert Ireland’s limited means into disproportionate capability by leveraging the investments of others, and both carry governance requirements that must be actively managed to ensure that access is reliable when it is most needed.</w:t>
      </w:r>
      <w:r w:rsidR="003B56ED">
        <w:rPr>
          <w:rStyle w:val="EndnoteReference"/>
          <w:rFonts w:eastAsia="Times New Roman" w:cs="Times New Roman"/>
          <w:kern w:val="0"/>
          <w14:ligatures w14:val="none"/>
        </w:rPr>
        <w:endnoteReference w:id="106"/>
      </w:r>
    </w:p>
    <w:p w14:paraId="335C2118" w14:textId="13CE7041" w:rsidR="002A5335" w:rsidRPr="000E0C5F" w:rsidRDefault="002A5335" w:rsidP="009744CB">
      <w:pPr>
        <w:ind w:firstLine="720"/>
        <w:rPr>
          <w:rFonts w:eastAsia="Times New Roman" w:cs="Times New Roman"/>
          <w:kern w:val="0"/>
          <w14:ligatures w14:val="none"/>
        </w:rPr>
      </w:pPr>
      <w:r>
        <w:rPr>
          <w:rFonts w:eastAsia="Times New Roman" w:cs="Times New Roman"/>
          <w:kern w:val="0"/>
          <w14:ligatures w14:val="none"/>
        </w:rPr>
        <w:t>Ireland’s alliance strategy relies on deep integration within the European Union’s Common Security and Defence Policy (CSDP) and the European Defence Agency (EDA).</w:t>
      </w:r>
      <w:r w:rsidR="00B14B0C">
        <w:rPr>
          <w:rStyle w:val="EndnoteReference"/>
          <w:rFonts w:eastAsia="Times New Roman" w:cs="Times New Roman"/>
          <w:kern w:val="0"/>
          <w14:ligatures w14:val="none"/>
        </w:rPr>
        <w:endnoteReference w:id="107"/>
      </w:r>
      <w:r>
        <w:rPr>
          <w:rFonts w:eastAsia="Times New Roman" w:cs="Times New Roman"/>
          <w:kern w:val="0"/>
          <w14:ligatures w14:val="none"/>
        </w:rPr>
        <w:t xml:space="preserve"> By actively participating in Permanent Structured Cooperation (PESCO) projects, Ireland can pool resources with other Member States to fill critical capability gaps.</w:t>
      </w:r>
      <w:r w:rsidR="00B14B0C">
        <w:rPr>
          <w:rStyle w:val="EndnoteReference"/>
          <w:rFonts w:eastAsia="Times New Roman" w:cs="Times New Roman"/>
          <w:kern w:val="0"/>
          <w14:ligatures w14:val="none"/>
        </w:rPr>
        <w:endnoteReference w:id="108"/>
      </w:r>
      <w:r>
        <w:rPr>
          <w:rFonts w:eastAsia="Times New Roman" w:cs="Times New Roman"/>
          <w:kern w:val="0"/>
          <w14:ligatures w14:val="none"/>
        </w:rPr>
        <w:t xml:space="preserve"> Relevant projects include the European Military Space Surveillance Awareness Network (EU-SSA-N) for space domain awareness, the Common Hub for Governmental Imagery (CoHGI) for Earth observation, and the EU Radio Navigation Solution (EURAS) for secure positioning, navigation, and timing (PNT).</w:t>
      </w:r>
      <w:r w:rsidR="002857AB">
        <w:rPr>
          <w:rStyle w:val="EndnoteReference"/>
          <w:rFonts w:eastAsia="Times New Roman" w:cs="Times New Roman"/>
          <w:kern w:val="0"/>
          <w14:ligatures w14:val="none"/>
        </w:rPr>
        <w:endnoteReference w:id="109"/>
      </w:r>
      <w:r>
        <w:rPr>
          <w:rFonts w:eastAsia="Times New Roman" w:cs="Times New Roman"/>
          <w:kern w:val="0"/>
          <w14:ligatures w14:val="none"/>
        </w:rPr>
        <w:t xml:space="preserve"> Ireland’s Individually Tailored Partnership Programme (ITPP) with NATO provides a </w:t>
      </w:r>
      <w:r>
        <w:rPr>
          <w:rFonts w:eastAsia="Times New Roman" w:cs="Times New Roman"/>
          <w:kern w:val="0"/>
          <w14:ligatures w14:val="none"/>
        </w:rPr>
        <w:lastRenderedPageBreak/>
        <w:t>complementary framework to enhance interoperability, cyber defence, and maritime situational awareness. Through these partnerships, Ireland contributes to international security while gaining access to a collective space architecture that it could never afford to build alone.</w:t>
      </w:r>
      <w:r>
        <w:rPr>
          <w:rStyle w:val="EndnoteReference"/>
        </w:rPr>
        <w:endnoteReference w:id="110"/>
      </w:r>
    </w:p>
    <w:p w14:paraId="1A103001" w14:textId="53E13886" w:rsidR="002A5335" w:rsidRDefault="002A5335" w:rsidP="002A5335">
      <w:pPr>
        <w:ind w:firstLine="720"/>
        <w:rPr>
          <w:rFonts w:eastAsia="Times New Roman" w:cs="Times New Roman"/>
          <w:kern w:val="0"/>
          <w14:ligatures w14:val="none"/>
        </w:rPr>
      </w:pPr>
      <w:r>
        <w:rPr>
          <w:rFonts w:eastAsia="Times New Roman" w:cs="Times New Roman"/>
          <w:kern w:val="0"/>
          <w14:ligatures w14:val="none"/>
        </w:rPr>
        <w:t>Achieving the depth of alliance integration described above demands a commensurate investment in national defence capability. The Commission on the Defence Forces’ Level of Ambition 2 (LOA 2) is no longer adequate to address the contemporary security environment; the pace and character of threats now require progression to an expanded LOA 3 that accounts for a space domain capability, with a clear pathway to further expansion thereafter.</w:t>
      </w:r>
      <w:r>
        <w:rPr>
          <w:rStyle w:val="EndnoteReference"/>
          <w:rFonts w:eastAsia="Times New Roman" w:cs="Times New Roman"/>
          <w:kern w:val="0"/>
          <w14:ligatures w14:val="none"/>
        </w:rPr>
        <w:endnoteReference w:id="111"/>
      </w:r>
      <w:r>
        <w:rPr>
          <w:rFonts w:eastAsia="Times New Roman" w:cs="Times New Roman"/>
          <w:kern w:val="0"/>
          <w14:ligatures w14:val="none"/>
        </w:rPr>
        <w:t xml:space="preserve"> Space domain capabilities must be planned and structured to achieve full interoperability with the planned Integrated Monitoring and Surveillance System (IMSS) and existing and future UK and EU capabilities, encompassing surveillance architecture, intelligence-sharing protocols, cyber defence frameworks, and space domain coordination. The emerging transatlantic uncertainty that has partially eroded traditional US security guarantees makes this European and bilateral interoperability not merely a cooperative aspiration but a strategic imperative. Ireland’s ability to contribute meaningfully to collective security and thereby earn the reciprocal access and influence that underpins its own protection, depends on closing the capability gap between its current posture and the demands of the contemporary threat environment.</w:t>
      </w:r>
      <w:r w:rsidR="00025814">
        <w:rPr>
          <w:rStyle w:val="EndnoteReference"/>
          <w:rFonts w:eastAsia="Times New Roman" w:cs="Times New Roman"/>
          <w:kern w:val="0"/>
          <w14:ligatures w14:val="none"/>
        </w:rPr>
        <w:endnoteReference w:id="112"/>
      </w:r>
    </w:p>
    <w:p w14:paraId="0A479D23" w14:textId="72EB6136" w:rsidR="006E4A26" w:rsidRPr="000E0C5F" w:rsidRDefault="006E4A26">
      <w:pPr>
        <w:pStyle w:val="Heading3"/>
        <w:numPr>
          <w:ilvl w:val="2"/>
          <w:numId w:val="1"/>
        </w:numPr>
        <w:rPr>
          <w:rFonts w:eastAsia="Times New Roman"/>
        </w:rPr>
      </w:pPr>
      <w:bookmarkStart w:id="34" w:name="_Toc226533951"/>
      <w:r>
        <w:rPr>
          <w:rFonts w:eastAsia="Times New Roman"/>
        </w:rPr>
        <w:t>Commercial Integration</w:t>
      </w:r>
      <w:bookmarkEnd w:id="34"/>
    </w:p>
    <w:p w14:paraId="5662E5F0" w14:textId="2C7916CA" w:rsidR="006E4A26" w:rsidRPr="000E0C5F" w:rsidRDefault="006E4A26" w:rsidP="006E4A26">
      <w:pPr>
        <w:rPr>
          <w:rFonts w:eastAsia="Times New Roman" w:cs="Times New Roman"/>
          <w:kern w:val="0"/>
          <w14:ligatures w14:val="none"/>
        </w:rPr>
      </w:pPr>
      <w:r>
        <w:rPr>
          <w:rFonts w:eastAsia="Times New Roman" w:cs="Times New Roman"/>
          <w:kern w:val="0"/>
          <w14:ligatures w14:val="none"/>
        </w:rPr>
        <w:t>Strategic outsourcing is the most cost-effective method for a middle or emerging power to rapidly acquire space capabilities.</w:t>
      </w:r>
      <w:r w:rsidR="00454755">
        <w:rPr>
          <w:rStyle w:val="EndnoteReference"/>
          <w:rFonts w:eastAsia="Times New Roman" w:cs="Times New Roman"/>
          <w:kern w:val="0"/>
          <w14:ligatures w14:val="none"/>
        </w:rPr>
        <w:endnoteReference w:id="113"/>
      </w:r>
      <w:r>
        <w:rPr>
          <w:rFonts w:eastAsia="Times New Roman" w:cs="Times New Roman"/>
          <w:kern w:val="0"/>
          <w14:ligatures w14:val="none"/>
        </w:rPr>
        <w:t xml:space="preserve"> Space is now a highly commercialized domain, and the proliferation of the "New Space" sector offers Ireland the ability to lease space-as-a-service rather than owning complex, high-end systems.</w:t>
      </w:r>
      <w:r w:rsidR="00454755">
        <w:rPr>
          <w:rStyle w:val="EndnoteReference"/>
          <w:rFonts w:eastAsia="Times New Roman" w:cs="Times New Roman"/>
          <w:kern w:val="0"/>
          <w14:ligatures w14:val="none"/>
        </w:rPr>
        <w:endnoteReference w:id="114"/>
      </w:r>
    </w:p>
    <w:p w14:paraId="2B1C028D" w14:textId="4494F5D3" w:rsidR="006E4A26" w:rsidRPr="000E0C5F" w:rsidRDefault="006E4A26" w:rsidP="006E4A26">
      <w:pPr>
        <w:ind w:firstLine="720"/>
        <w:rPr>
          <w:rFonts w:eastAsia="Times New Roman" w:cs="Times New Roman"/>
          <w:kern w:val="0"/>
          <w14:ligatures w14:val="none"/>
        </w:rPr>
      </w:pPr>
      <w:r>
        <w:rPr>
          <w:rFonts w:eastAsia="Times New Roman" w:cs="Times New Roman"/>
          <w:kern w:val="0"/>
          <w14:ligatures w14:val="none"/>
        </w:rPr>
        <w:lastRenderedPageBreak/>
        <w:t xml:space="preserve">Ireland can achieve immediate asymmetric advantage by purchasing access to commercial high-throughput satellite communications (SATCOM), high-resolution space based earth observation (SBEO), and Space Situational Awareness (SSA) data from commercial providers. This approach closely aligns with Ireland’s </w:t>
      </w:r>
      <w:r>
        <w:rPr>
          <w:rFonts w:eastAsia="Times New Roman" w:cs="Times New Roman"/>
          <w:i/>
          <w:iCs/>
          <w:kern w:val="0"/>
          <w14:ligatures w14:val="none"/>
        </w:rPr>
        <w:t>National Space Strategy for Enterprise</w:t>
      </w:r>
      <w:r>
        <w:rPr>
          <w:rFonts w:eastAsia="Times New Roman" w:cs="Times New Roman"/>
          <w:kern w:val="0"/>
          <w14:ligatures w14:val="none"/>
        </w:rPr>
        <w:t>, allowing the Defence Forces to leverage dual-use technologies that serve both civilian and military functions. However, commercial integration requires rigorous operational security; Ireland must ensure that data supply chains are secure and that Service Level Agreements (SLAs) guarantee bandwidth and imagery access during times of crisis. By utilizing commercial mega-constellations and rideshare launch models, Ireland effectively disperses its reliance across a vast, redundant commercial network, complicating any adversary's targeting calculus.</w:t>
      </w:r>
      <w:r w:rsidR="00454755">
        <w:rPr>
          <w:rStyle w:val="EndnoteReference"/>
          <w:rFonts w:eastAsia="Times New Roman" w:cs="Times New Roman"/>
          <w:kern w:val="0"/>
          <w14:ligatures w14:val="none"/>
        </w:rPr>
        <w:endnoteReference w:id="115"/>
      </w:r>
    </w:p>
    <w:p w14:paraId="2DB234C8" w14:textId="11EB295D" w:rsidR="009744CB" w:rsidRPr="000E0C5F" w:rsidRDefault="002A5335">
      <w:pPr>
        <w:pStyle w:val="Heading3"/>
        <w:numPr>
          <w:ilvl w:val="2"/>
          <w:numId w:val="1"/>
        </w:numPr>
        <w:rPr>
          <w:rFonts w:eastAsia="Times New Roman"/>
        </w:rPr>
      </w:pPr>
      <w:bookmarkStart w:id="35" w:name="_Toc226533952"/>
      <w:r>
        <w:rPr>
          <w:rFonts w:eastAsia="Times New Roman"/>
        </w:rPr>
        <w:t>Developing Niche Capabilities</w:t>
      </w:r>
      <w:bookmarkEnd w:id="35"/>
      <w:r>
        <w:rPr>
          <w:rFonts w:eastAsia="Times New Roman"/>
        </w:rPr>
        <w:t xml:space="preserve"> </w:t>
      </w:r>
    </w:p>
    <w:p w14:paraId="494005EF" w14:textId="12EC2993" w:rsidR="00025C14" w:rsidRPr="000E0C5F" w:rsidRDefault="002A5335" w:rsidP="00025C14">
      <w:pPr>
        <w:rPr>
          <w:rFonts w:eastAsia="Times New Roman" w:cs="Times New Roman"/>
          <w:kern w:val="0"/>
          <w14:ligatures w14:val="none"/>
        </w:rPr>
      </w:pPr>
      <w:r>
        <w:rPr>
          <w:rFonts w:eastAsia="Times New Roman" w:cs="Times New Roman"/>
          <w:kern w:val="0"/>
          <w14:ligatures w14:val="none"/>
        </w:rPr>
        <w:t>While</w:t>
      </w:r>
      <w:r w:rsidR="00025C14">
        <w:rPr>
          <w:rFonts w:eastAsia="Times New Roman" w:cs="Times New Roman"/>
          <w:kern w:val="0"/>
          <w14:ligatures w14:val="none"/>
        </w:rPr>
        <w:t xml:space="preserve"> alliances and commercial outsourcing provide the foundation of Ireland’s space capability, true strategic autonomy requires the targeted development of specific indigenous capabilities. The comparative models examined in section 3.4 are instructive in this regard: the Netherlands, Luxembourg, and Finland did not attempt to replicate great-power space architectures. Each instead identified a narrow capability that converted its geographic position, institutional agility, or industrial base into a contribution that larger partners genuinely valued. Ireland’s niche strategy must follow the same logic</w:t>
      </w:r>
      <w:r w:rsidR="00CC4356">
        <w:rPr>
          <w:rFonts w:eastAsia="Times New Roman" w:cs="Times New Roman"/>
          <w:kern w:val="0"/>
          <w14:ligatures w14:val="none"/>
        </w:rPr>
        <w:t xml:space="preserve">, </w:t>
      </w:r>
      <w:r w:rsidR="00025C14">
        <w:rPr>
          <w:rFonts w:eastAsia="Times New Roman" w:cs="Times New Roman"/>
          <w:kern w:val="0"/>
          <w14:ligatures w14:val="none"/>
        </w:rPr>
        <w:t>selecting capabilities that exploit its specific advantages rather than filling gaps already covered by allies or the commercial sector.</w:t>
      </w:r>
      <w:r w:rsidR="00A72750">
        <w:rPr>
          <w:rStyle w:val="EndnoteReference"/>
          <w:rFonts w:eastAsia="Times New Roman" w:cs="Times New Roman"/>
          <w:kern w:val="0"/>
          <w14:ligatures w14:val="none"/>
        </w:rPr>
        <w:endnoteReference w:id="116"/>
      </w:r>
    </w:p>
    <w:p w14:paraId="383077C5" w14:textId="2D653F50" w:rsidR="00025C14" w:rsidRDefault="00025C14" w:rsidP="00025C14">
      <w:pPr>
        <w:ind w:firstLine="720"/>
        <w:rPr>
          <w:rFonts w:eastAsia="Times New Roman" w:cs="Times New Roman"/>
          <w:kern w:val="0"/>
          <w14:ligatures w14:val="none"/>
        </w:rPr>
      </w:pPr>
      <w:r>
        <w:rPr>
          <w:rFonts w:eastAsia="Times New Roman" w:cs="Times New Roman"/>
          <w:kern w:val="0"/>
          <w14:ligatures w14:val="none"/>
        </w:rPr>
        <w:t xml:space="preserve">Three niche areas warrant prioritisation, each grounded in existing Irish strengths. The first is Space Domain Awareness through radar integration. Ireland’s planned primary military radar, identified as a national priority in the Defence Policy Review 2024, provides the foundation for a contribution to European SDA networks analogous to the Dutch SMART-L </w:t>
      </w:r>
      <w:r>
        <w:rPr>
          <w:rFonts w:eastAsia="Times New Roman" w:cs="Times New Roman"/>
          <w:kern w:val="0"/>
          <w14:ligatures w14:val="none"/>
        </w:rPr>
        <w:lastRenderedPageBreak/>
        <w:t>radar niche within NATO.</w:t>
      </w:r>
      <w:r w:rsidR="008122FB">
        <w:rPr>
          <w:rStyle w:val="EndnoteReference"/>
          <w:rFonts w:eastAsia="Times New Roman" w:cs="Times New Roman"/>
          <w:kern w:val="0"/>
          <w14:ligatures w14:val="none"/>
        </w:rPr>
        <w:endnoteReference w:id="117"/>
      </w:r>
      <w:r>
        <w:rPr>
          <w:rFonts w:eastAsia="Times New Roman" w:cs="Times New Roman"/>
          <w:kern w:val="0"/>
          <w14:ligatures w14:val="none"/>
        </w:rPr>
        <w:t xml:space="preserve"> By integrating indigenous space technologies, drawn from Ireland’s established and rapidly growing commercial space sector, with the planned radar and IMSS architecture, the Defence Forces can develop a sovereign SDA contribution that both serves national requirements and generates tracking data valuable to EU and NATO partnership frameworks. This approach converts a planned domestic investment into an internationally relevant niche, at no additional cost to the state.</w:t>
      </w:r>
      <w:r w:rsidR="008122FB">
        <w:rPr>
          <w:rStyle w:val="EndnoteReference"/>
          <w:rFonts w:eastAsia="Times New Roman" w:cs="Times New Roman"/>
          <w:kern w:val="0"/>
          <w14:ligatures w14:val="none"/>
        </w:rPr>
        <w:endnoteReference w:id="118"/>
      </w:r>
    </w:p>
    <w:p w14:paraId="366F8128" w14:textId="3916F6E9" w:rsidR="00025C14" w:rsidRDefault="00025C14" w:rsidP="00025C14">
      <w:pPr>
        <w:ind w:firstLine="720"/>
        <w:rPr>
          <w:rFonts w:eastAsia="Times New Roman" w:cs="Times New Roman"/>
          <w:kern w:val="0"/>
          <w14:ligatures w14:val="none"/>
        </w:rPr>
      </w:pPr>
      <w:r>
        <w:rPr>
          <w:rFonts w:eastAsia="Times New Roman" w:cs="Times New Roman"/>
          <w:kern w:val="0"/>
          <w14:ligatures w14:val="none"/>
        </w:rPr>
        <w:t>The second niche is maritime-space analytic fusion. Ireland’s Exclusive Economic Zone is one of the largest in Europe and contains the transatlantic subsea data cables that carry the majority of Europe-US digital communications. No partner currently provides persistent, dedicated space-based monitoring of this specific maritime environment,  it represents a genuine gap in the collective European security picture.</w:t>
      </w:r>
      <w:r w:rsidR="008122FB">
        <w:rPr>
          <w:rStyle w:val="EndnoteReference"/>
          <w:rFonts w:eastAsia="Times New Roman" w:cs="Times New Roman"/>
          <w:kern w:val="0"/>
          <w14:ligatures w14:val="none"/>
        </w:rPr>
        <w:endnoteReference w:id="119"/>
      </w:r>
      <w:r>
        <w:rPr>
          <w:rFonts w:eastAsia="Times New Roman" w:cs="Times New Roman"/>
          <w:kern w:val="0"/>
          <w14:ligatures w14:val="none"/>
        </w:rPr>
        <w:t xml:space="preserve"> By developing expertise in fusing commercial SAR and electro-optical imagery with AIS and MARSUR data, applying AI-enabled pattern-of-life analysis to detect grey-zone activities and monitor subsea infrastructure, Ireland can provide a highly sought-after intelligence product to EU partners that no other state is better positioned to generate. This is not a capability Ireland builds for itself alone; it is a contribution to collective European security that happens to protect Ireland’s most critical strategic asset in the process.</w:t>
      </w:r>
      <w:r w:rsidR="008122FB">
        <w:rPr>
          <w:rStyle w:val="EndnoteReference"/>
          <w:rFonts w:eastAsia="Times New Roman" w:cs="Times New Roman"/>
          <w:kern w:val="0"/>
          <w14:ligatures w14:val="none"/>
        </w:rPr>
        <w:endnoteReference w:id="120"/>
      </w:r>
    </w:p>
    <w:p w14:paraId="6EBAA509" w14:textId="1DE7CC10" w:rsidR="00025C14" w:rsidRDefault="00025C14" w:rsidP="00025C14">
      <w:pPr>
        <w:ind w:firstLine="720"/>
        <w:rPr>
          <w:rFonts w:eastAsia="Times New Roman" w:cs="Times New Roman"/>
          <w:kern w:val="0"/>
          <w14:ligatures w14:val="none"/>
        </w:rPr>
      </w:pPr>
      <w:r>
        <w:rPr>
          <w:rFonts w:eastAsia="Times New Roman" w:cs="Times New Roman"/>
          <w:kern w:val="0"/>
          <w14:ligatures w14:val="none"/>
        </w:rPr>
        <w:t>The third niche is space-cyber integration. Ireland hosts a concentration of global technology infrastructure, hyperscaler data centres, transatlantic cable landing points, and a high-density commercial tech sector, that creates both vulnerability and expertise in the cyber domain.</w:t>
      </w:r>
      <w:r w:rsidR="008122FB">
        <w:rPr>
          <w:rStyle w:val="EndnoteReference"/>
          <w:rFonts w:eastAsia="Times New Roman" w:cs="Times New Roman"/>
          <w:kern w:val="0"/>
          <w14:ligatures w14:val="none"/>
        </w:rPr>
        <w:endnoteReference w:id="121"/>
      </w:r>
      <w:r>
        <w:rPr>
          <w:rFonts w:eastAsia="Times New Roman" w:cs="Times New Roman"/>
          <w:kern w:val="0"/>
          <w14:ligatures w14:val="none"/>
        </w:rPr>
        <w:t xml:space="preserve"> Developing robust cybersecurity capabilities for space ground stations and satellite link segments, drawing on Ireland’s indigenous technology industry and aligning with the National Cyber Security Centre, would fill a gap that European collective defence frameworks explicitly identify as a priority requirement. This niche is particularly well-suited to Ireland’s </w:t>
      </w:r>
      <w:r>
        <w:rPr>
          <w:rFonts w:eastAsia="Times New Roman" w:cs="Times New Roman"/>
          <w:kern w:val="0"/>
          <w14:ligatures w14:val="none"/>
        </w:rPr>
        <w:lastRenderedPageBreak/>
        <w:t>neutrality constraints: it is inherently defensive in character, contributes directly to collective security without requiring offensive capability, and leverages commercial expertise that already exists within the Irish economy.</w:t>
      </w:r>
      <w:r w:rsidR="008122FB">
        <w:rPr>
          <w:rStyle w:val="EndnoteReference"/>
          <w:rFonts w:eastAsia="Times New Roman" w:cs="Times New Roman"/>
          <w:kern w:val="0"/>
          <w14:ligatures w14:val="none"/>
        </w:rPr>
        <w:endnoteReference w:id="122"/>
      </w:r>
    </w:p>
    <w:p w14:paraId="798A0252" w14:textId="76E600BB" w:rsidR="0020596C" w:rsidRPr="000E0C5F" w:rsidRDefault="00025C14" w:rsidP="00025C14">
      <w:pPr>
        <w:ind w:firstLine="720"/>
        <w:rPr>
          <w:rFonts w:eastAsia="Times New Roman" w:cs="Times New Roman"/>
          <w:kern w:val="0"/>
          <w14:ligatures w14:val="none"/>
        </w:rPr>
      </w:pPr>
      <w:r>
        <w:rPr>
          <w:rFonts w:eastAsia="Times New Roman" w:cs="Times New Roman"/>
          <w:kern w:val="0"/>
          <w14:ligatures w14:val="none"/>
        </w:rPr>
        <w:t xml:space="preserve">Underpinning all three niches is Ireland’s growing indigenous space industrial base. The Defence Forces must actively integrate with domestic commercial space companies to develop dual-use technologies, foster participation in EU defence research programmes, and encourage private sector engagement with PESCO projects. This civil-military industrial cooperation, analogous to the Dutch “Golden Triangle” model identified in section 3.4.2, converts Ireland’s commercial technology strength into sovereign defence capability at a fraction of the cost of indigenous development from first principles. It also generates the internationally valuable partnerships that make entanglement deterrence credible: a state whose technology partners depend upon it is a state that partners protect. The SBEO Cell’s exploitation of AI-driven imagery analysis, </w:t>
      </w:r>
      <w:r w:rsidR="00726738" w:rsidRPr="00726738">
        <w:rPr>
          <w:rFonts w:eastAsia="Times New Roman" w:cs="Times New Roman"/>
          <w:kern w:val="0"/>
          <w14:ligatures w14:val="none"/>
        </w:rPr>
        <w:t>aligning with ongoing European Defence Fund initiatives like project MYRIAD, which applies AI and machine-learning to multi-source satellite imagery exploitation for defence intelligence applications</w:t>
      </w:r>
      <w:r w:rsidR="00726738">
        <w:rPr>
          <w:rFonts w:eastAsia="Times New Roman" w:cs="Times New Roman"/>
          <w:kern w:val="0"/>
          <w14:ligatures w14:val="none"/>
        </w:rPr>
        <w:t>,</w:t>
      </w:r>
      <w:r>
        <w:rPr>
          <w:rFonts w:eastAsia="Times New Roman" w:cs="Times New Roman"/>
          <w:kern w:val="0"/>
          <w14:ligatures w14:val="none"/>
        </w:rPr>
        <w:t xml:space="preserve"> and integrating indigenous companies working in this domain, could exemplify how this civil-military integration model generates both operational ISR output for the joint force and a durable commercial relationship that strengthens Ireland’s position within European defence frameworks.</w:t>
      </w:r>
      <w:r>
        <w:rPr>
          <w:rStyle w:val="EndnoteReference"/>
        </w:rPr>
        <w:endnoteReference w:id="123"/>
      </w:r>
    </w:p>
    <w:p w14:paraId="1234774B" w14:textId="58FBDC51" w:rsidR="009744CB" w:rsidRPr="000E0C5F" w:rsidRDefault="002A5335">
      <w:pPr>
        <w:pStyle w:val="Heading3"/>
        <w:numPr>
          <w:ilvl w:val="2"/>
          <w:numId w:val="1"/>
        </w:numPr>
        <w:rPr>
          <w:rFonts w:eastAsia="Times New Roman"/>
        </w:rPr>
      </w:pPr>
      <w:bookmarkStart w:id="36" w:name="_Toc226533953"/>
      <w:r>
        <w:rPr>
          <w:rFonts w:eastAsia="Times New Roman"/>
        </w:rPr>
        <w:t>All Force Resiliency (Resilience as Deterrence)</w:t>
      </w:r>
      <w:bookmarkEnd w:id="36"/>
      <w:r>
        <w:rPr>
          <w:rFonts w:eastAsia="Times New Roman"/>
        </w:rPr>
        <w:t xml:space="preserve"> </w:t>
      </w:r>
    </w:p>
    <w:p w14:paraId="6D7E3CB4" w14:textId="0CF4EEE1" w:rsidR="002A5335" w:rsidRPr="000E0C5F" w:rsidRDefault="00646E5A" w:rsidP="002A5335">
      <w:pPr>
        <w:rPr>
          <w:rFonts w:eastAsia="Times New Roman" w:cs="Times New Roman"/>
          <w:kern w:val="0"/>
          <w14:ligatures w14:val="none"/>
        </w:rPr>
      </w:pPr>
      <w:r>
        <w:rPr>
          <w:rFonts w:eastAsia="Times New Roman" w:cs="Times New Roman"/>
          <w:kern w:val="0"/>
          <w14:ligatures w14:val="none"/>
        </w:rPr>
        <w:t xml:space="preserve">Empirical evidence from contemporary conflicts underscores that the disruption of space services is no longer a theoretical risk, but a guaranteed operational reality. Observations from the war in Ukraine indicate that adversaries will heavily prioritize reversible, non-kinetic attacks, such as cyber-intrusions and electronic warfare (EW), often initiating them prior to or at the very </w:t>
      </w:r>
      <w:r>
        <w:rPr>
          <w:rFonts w:eastAsia="Times New Roman" w:cs="Times New Roman"/>
          <w:kern w:val="0"/>
          <w14:ligatures w14:val="none"/>
        </w:rPr>
        <w:lastRenderedPageBreak/>
        <w:t>onset of armed conflict due to their lower escalation risks.</w:t>
      </w:r>
      <w:r w:rsidR="006A2E21">
        <w:rPr>
          <w:rStyle w:val="EndnoteReference"/>
          <w:rFonts w:eastAsia="Times New Roman" w:cs="Times New Roman"/>
          <w:kern w:val="0"/>
          <w14:ligatures w14:val="none"/>
        </w:rPr>
        <w:endnoteReference w:id="124"/>
      </w:r>
      <w:r>
        <w:rPr>
          <w:rFonts w:eastAsia="Times New Roman" w:cs="Times New Roman"/>
          <w:kern w:val="0"/>
          <w14:ligatures w14:val="none"/>
        </w:rPr>
        <w:t xml:space="preserve"> In particular, the sustained and highly effective terrestrial jamming of Global Navigation Satellite Systems (GNSS) demonstrates that Positioning, Navigation, and Timing (PNT) signals will face continuous, systemic degradation in any contested environment. Consequently, an effective resilience strategy must presume that primary space-based PNT and SATCOM will be frequently denied. To maintain deterrence by denial, the Defence Forces must aggressively pursue technological diversification, investing in alternative, non-space PNT technologies, advanced inertial navigation systems, and proliferated multi-orbit communication architectures that can absorb and "fight through" intense electronic warfare. As the space domain is inherently offense-dominant, meaning it is far cheaper and easier to destroy a satellite than to defend it, traditional deterrence by punishment is unfeasible for a non-weaponized small state. Therefore, Ireland must rely on "deterrence by denial," a concept rooted in resilience. Deterrence by denial dissuades hostile action by conveying to an adversary that an attack will simply be futile and will not achieve its intended disruptive effects.</w:t>
      </w:r>
      <w:r w:rsidR="006A2E21">
        <w:rPr>
          <w:rStyle w:val="EndnoteReference"/>
          <w:rFonts w:eastAsia="Times New Roman" w:cs="Times New Roman"/>
          <w:kern w:val="0"/>
          <w14:ligatures w14:val="none"/>
        </w:rPr>
        <w:endnoteReference w:id="125"/>
      </w:r>
    </w:p>
    <w:p w14:paraId="1EEBBAA8" w14:textId="62746A97" w:rsidR="002A5335" w:rsidRPr="000E0C5F" w:rsidRDefault="002A5335" w:rsidP="009744CB">
      <w:pPr>
        <w:ind w:firstLine="720"/>
        <w:rPr>
          <w:rFonts w:eastAsia="Times New Roman" w:cs="Times New Roman"/>
          <w:kern w:val="0"/>
          <w14:ligatures w14:val="none"/>
        </w:rPr>
      </w:pPr>
      <w:r>
        <w:rPr>
          <w:rFonts w:eastAsia="Times New Roman" w:cs="Times New Roman"/>
          <w:kern w:val="0"/>
          <w14:ligatures w14:val="none"/>
        </w:rPr>
        <w:t>In space strategy, resilience is achieved through disaggregation, distribution, diversification, and protection.</w:t>
      </w:r>
      <w:r w:rsidR="005646DF">
        <w:rPr>
          <w:rStyle w:val="EndnoteReference"/>
          <w:rFonts w:eastAsia="Times New Roman" w:cs="Times New Roman"/>
          <w:kern w:val="0"/>
          <w14:ligatures w14:val="none"/>
        </w:rPr>
        <w:endnoteReference w:id="126"/>
      </w:r>
      <w:r>
        <w:rPr>
          <w:rFonts w:eastAsia="Times New Roman" w:cs="Times New Roman"/>
          <w:kern w:val="0"/>
          <w14:ligatures w14:val="none"/>
        </w:rPr>
        <w:t xml:space="preserve"> For Ireland, this means insulating its terrestrial forces and economy from the potential loss of space assets. If a space-based PNT or SATCOM system is jammed or degraded by a hostile actor, the Irish Defence Forces must be prepared to "fight through" the disruption using diversified terrestrial backups, such as multi-GNSS receivers, advanced inertial navigation systems, and robust fibre-optic networks.</w:t>
      </w:r>
    </w:p>
    <w:p w14:paraId="54647CD9" w14:textId="1E4F2490" w:rsidR="000F3455" w:rsidRPr="000E0C5F" w:rsidRDefault="002A5335" w:rsidP="009744CB">
      <w:pPr>
        <w:ind w:firstLine="720"/>
        <w:rPr>
          <w:rFonts w:eastAsia="Times New Roman" w:cs="Times New Roman"/>
          <w:kern w:val="0"/>
          <w14:ligatures w14:val="none"/>
        </w:rPr>
      </w:pPr>
      <w:r>
        <w:rPr>
          <w:rFonts w:eastAsia="Times New Roman" w:cs="Times New Roman"/>
          <w:kern w:val="0"/>
          <w14:ligatures w14:val="none"/>
        </w:rPr>
        <w:t xml:space="preserve">Crucially, resilience also demands protecting the terrestrial nodes of the space architecture. Ireland’s maritime domain acts as a critical strategic choke point, containing over 20 major undersea data cables that transmit the majority of global digital traffic, including </w:t>
      </w:r>
      <w:r>
        <w:rPr>
          <w:rFonts w:eastAsia="Times New Roman" w:cs="Times New Roman"/>
          <w:kern w:val="0"/>
          <w14:ligatures w14:val="none"/>
        </w:rPr>
        <w:lastRenderedPageBreak/>
        <w:t>satellite-derived data. Protecting this maritime-space nexus from hybrid or grey-zone threats using integrated maritime patrols, primary radar, and a Joint Cyber Defence Command is a highly effective, indirect method of securing the space domain. By building all-force resiliency, Ireland ensures that even if an adversary successfully degrades a space asset, the Irish state and its military operations continue to function, thereby nullifying the strategic value of the adversary's attack.</w:t>
      </w:r>
      <w:r w:rsidR="005646DF">
        <w:rPr>
          <w:rStyle w:val="EndnoteReference"/>
          <w:rFonts w:eastAsia="Times New Roman" w:cs="Times New Roman"/>
          <w:kern w:val="0"/>
          <w14:ligatures w14:val="none"/>
        </w:rPr>
        <w:endnoteReference w:id="127"/>
      </w:r>
    </w:p>
    <w:p w14:paraId="4268BAD7" w14:textId="2469AB30" w:rsidR="002A5335" w:rsidRPr="000E0C5F" w:rsidRDefault="000F3455" w:rsidP="000F3455">
      <w:pPr>
        <w:spacing w:after="160" w:line="278" w:lineRule="auto"/>
        <w:rPr>
          <w:rFonts w:eastAsia="Times New Roman" w:cs="Times New Roman"/>
          <w:kern w:val="0"/>
          <w14:ligatures w14:val="none"/>
        </w:rPr>
      </w:pPr>
      <w:r>
        <w:rPr>
          <w:rFonts w:eastAsia="Times New Roman" w:cs="Times New Roman"/>
          <w:kern w:val="0"/>
          <w14:ligatures w14:val="none"/>
        </w:rPr>
        <w:br w:type="page"/>
      </w:r>
    </w:p>
    <w:p w14:paraId="7078ACC5" w14:textId="3E4EB12C" w:rsidR="00893569" w:rsidRPr="000E0C5F" w:rsidRDefault="00893569">
      <w:pPr>
        <w:pStyle w:val="Heading1"/>
        <w:numPr>
          <w:ilvl w:val="0"/>
          <w:numId w:val="1"/>
        </w:numPr>
        <w:rPr>
          <w:rFonts w:eastAsia="Times New Roman"/>
        </w:rPr>
      </w:pPr>
      <w:bookmarkStart w:id="37" w:name="_Toc226533954"/>
      <w:r>
        <w:rPr>
          <w:rFonts w:eastAsia="Times New Roman"/>
        </w:rPr>
        <w:lastRenderedPageBreak/>
        <w:t>A BLUEPRINT FOR SMALL-STATE SPACE RESILIENCE</w:t>
      </w:r>
      <w:bookmarkEnd w:id="37"/>
    </w:p>
    <w:p w14:paraId="1B000002" w14:textId="3917DCED" w:rsidR="00E266AA" w:rsidRPr="000E0C5F" w:rsidRDefault="00000000">
      <w:pPr>
        <w:rPr>
          <w:rFonts w:eastAsia="Times New Roman" w:cs="Times New Roman"/>
          <w:kern w:val="0"/>
          <w14:ligatures w14:val="none"/>
        </w:rPr>
      </w:pPr>
      <w:r>
        <w:rPr>
          <w:rFonts w:eastAsia="Times New Roman" w:cs="Times New Roman"/>
          <w:kern w:val="0"/>
          <w14:ligatures w14:val="none"/>
        </w:rPr>
        <w:t>Where Chapter 3 applied the five strategic imperatives specifically to Ireland’s institutional, geographic, and political context, this chapter abstracts those findings into a generalizable blueprint. The framework presented here is intentionally state agnostic: while the analysis is informed by the Irish case study, the strategic logic, the sequencing of reform, the method of deterrence, and the architecture of intelligent integration, is designed to be transferable to any small or emerging space power operating with constrained resources in a contested domain.</w:t>
      </w:r>
    </w:p>
    <w:p w14:paraId="4D382C06" w14:textId="2EFCC23A" w:rsidR="00ED5AC6" w:rsidRPr="000E0C5F" w:rsidRDefault="00ED5AC6">
      <w:pPr>
        <w:pStyle w:val="Heading2"/>
        <w:numPr>
          <w:ilvl w:val="1"/>
          <w:numId w:val="1"/>
        </w:numPr>
        <w:rPr>
          <w:rFonts w:eastAsia="Times New Roman"/>
        </w:rPr>
      </w:pPr>
      <w:bookmarkStart w:id="38" w:name="_Toc226533955"/>
      <w:r>
        <w:rPr>
          <w:rFonts w:eastAsia="Times New Roman"/>
        </w:rPr>
        <w:t>Strategic Positioning</w:t>
      </w:r>
      <w:bookmarkEnd w:id="38"/>
    </w:p>
    <w:p w14:paraId="0F466332" w14:textId="79D89843"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For a small, resource-constrained state or emerging space power, attempting to achieve general or persistent command of space through massive capital investment is both fiscally impossible and strategically unsound. According to space power theory adapted for medium and emerging powers, a state's central objective in the space domain should not be absolute dominance, but rather the protection of its Celestial Lines of Communication (CLOCs), the physical and electromagnetic pathways essential for the movement of data, services, and military effects.</w:t>
      </w:r>
      <w:r>
        <w:rPr>
          <w:rStyle w:val="EndnoteReference"/>
        </w:rPr>
        <w:endnoteReference w:id="128"/>
      </w:r>
    </w:p>
    <w:p w14:paraId="1A58201A" w14:textId="1D9E05F4" w:rsidR="00ED5AC6" w:rsidRPr="000E0C5F" w:rsidRDefault="00ED5AC6" w:rsidP="00ED5AC6">
      <w:pPr>
        <w:ind w:firstLine="720"/>
        <w:rPr>
          <w:rFonts w:eastAsia="Times New Roman" w:cs="Times New Roman"/>
          <w:kern w:val="0"/>
          <w14:ligatures w14:val="none"/>
        </w:rPr>
      </w:pPr>
      <w:r>
        <w:rPr>
          <w:rFonts w:eastAsia="Times New Roman" w:cs="Times New Roman"/>
          <w:kern w:val="0"/>
          <w14:ligatures w14:val="none"/>
        </w:rPr>
        <w:t>Instead of engaging in symmetrical competition with great powers, an emerging space power must focus on an asymmetric, indirect approach. This requires a strategy of “intelligent integration”: the deliberate leveraging of allied architectures, commercial space services, and selective indigenous investment to generate disproportionate strategic effect from constrained means.</w:t>
      </w:r>
      <w:r w:rsidR="0076640D">
        <w:rPr>
          <w:rStyle w:val="EndnoteReference"/>
          <w:rFonts w:eastAsia="Times New Roman" w:cs="Times New Roman"/>
          <w:kern w:val="0"/>
          <w14:ligatures w14:val="none"/>
        </w:rPr>
        <w:endnoteReference w:id="129"/>
      </w:r>
      <w:r>
        <w:rPr>
          <w:rFonts w:eastAsia="Times New Roman" w:cs="Times New Roman"/>
          <w:kern w:val="0"/>
          <w14:ligatures w14:val="none"/>
        </w:rPr>
        <w:t xml:space="preserve"> For a small state, this translates to mitigating capability shortfalls by purchasing dual-use commercial space services, leveraging allied architectures, and focusing indigenous efforts strictly on highly specialised niche capabilities. By doing so, the emerging power positions itself as a valuable stabiliser and legitimiser within the international system rather than a dependent liability, effectively gaining a disproportionate level of strategic influence.</w:t>
      </w:r>
      <w:r w:rsidR="0076640D">
        <w:rPr>
          <w:rStyle w:val="EndnoteReference"/>
          <w:rFonts w:eastAsia="Times New Roman" w:cs="Times New Roman"/>
          <w:kern w:val="0"/>
          <w14:ligatures w14:val="none"/>
        </w:rPr>
        <w:endnoteReference w:id="130"/>
      </w:r>
      <w:r>
        <w:rPr>
          <w:rFonts w:eastAsia="Times New Roman" w:cs="Times New Roman"/>
          <w:kern w:val="0"/>
          <w14:ligatures w14:val="none"/>
        </w:rPr>
        <w:t xml:space="preserve"> The remainder of </w:t>
      </w:r>
      <w:r>
        <w:rPr>
          <w:rFonts w:eastAsia="Times New Roman" w:cs="Times New Roman"/>
          <w:kern w:val="0"/>
          <w14:ligatures w14:val="none"/>
        </w:rPr>
        <w:lastRenderedPageBreak/>
        <w:t>this chapter sets out, in state-agnostic terms, how intelligent integration is operationalised: first through a sequenced, phased implementation model that builds capability in the correct order, and then through a deterrence framework that explains how completing those phases constructs a credible deterrent posture without offensive capability.</w:t>
      </w:r>
    </w:p>
    <w:p w14:paraId="1AA22F3E" w14:textId="77777777" w:rsidR="00ED5AC6" w:rsidRPr="000E0C5F" w:rsidRDefault="00ED5AC6">
      <w:pPr>
        <w:pStyle w:val="Heading2"/>
        <w:numPr>
          <w:ilvl w:val="1"/>
          <w:numId w:val="1"/>
        </w:numPr>
        <w:rPr>
          <w:rFonts w:eastAsia="Times New Roman"/>
        </w:rPr>
      </w:pPr>
      <w:bookmarkStart w:id="39" w:name="_Toc226533956"/>
      <w:r>
        <w:rPr>
          <w:rFonts w:eastAsia="Times New Roman"/>
        </w:rPr>
        <w:t>Phased Implementation Model</w:t>
      </w:r>
      <w:bookmarkEnd w:id="39"/>
      <w:r>
        <w:rPr>
          <w:rFonts w:eastAsia="Times New Roman"/>
        </w:rPr>
        <w:t xml:space="preserve"> </w:t>
      </w:r>
    </w:p>
    <w:p w14:paraId="41D43BFE" w14:textId="7CF65BF0" w:rsidR="00ED5AC6" w:rsidRDefault="00ED5AC6" w:rsidP="00ED5AC6">
      <w:pPr>
        <w:rPr>
          <w:rFonts w:eastAsia="Times New Roman" w:cs="Times New Roman"/>
          <w:kern w:val="0"/>
          <w14:ligatures w14:val="none"/>
        </w:rPr>
      </w:pPr>
      <w:r>
        <w:rPr>
          <w:rFonts w:eastAsia="Times New Roman" w:cs="Times New Roman"/>
          <w:kern w:val="0"/>
          <w14:ligatures w14:val="none"/>
        </w:rPr>
        <w:t>To translate this strategic positioning into operational reality, small states must adopt a phased capability development framework.</w:t>
      </w:r>
      <w:r w:rsidR="00FD3AAC">
        <w:rPr>
          <w:rFonts w:eastAsia="Times New Roman" w:cs="Times New Roman"/>
          <w:kern w:val="0"/>
          <w14:ligatures w14:val="none"/>
        </w:rPr>
        <w:t xml:space="preserve"> </w:t>
      </w:r>
      <w:r w:rsidR="00FD3AAC" w:rsidRPr="00FD3AAC">
        <w:rPr>
          <w:rFonts w:eastAsia="Times New Roman" w:cs="Times New Roman"/>
          <w:kern w:val="0"/>
          <w14:ligatures w14:val="none"/>
        </w:rPr>
        <w:t>The five imperatives identified in Chapter 2 define what must be achieved; the four phases below define the sequence in which to build toward them.</w:t>
      </w:r>
      <w:r>
        <w:rPr>
          <w:rFonts w:eastAsia="Times New Roman" w:cs="Times New Roman"/>
          <w:kern w:val="0"/>
          <w14:ligatures w14:val="none"/>
        </w:rPr>
        <w:t xml:space="preserve"> As military theorists emphasize, institutional clarity and doctrine must precede material expansion. This blueprint sequences reform to ensure that investments are guided by coherent strategy. The phased model organises the five imperatives into a sequential implementation pathway. Cultivation of cooperative alliances and commercial partnerships operates are not distinct phases to be completed but a continuous governance obligation that must be established in Phase I and sustained actively through every subsequent step. The architecture of intelligent integration depends on those relationships remaining current, diversified, and actively managed at every stage of capability development. </w:t>
      </w:r>
    </w:p>
    <w:p w14:paraId="3A258591" w14:textId="77777777" w:rsidR="0058581F" w:rsidRDefault="0058581F" w:rsidP="0058581F">
      <w:pPr>
        <w:keepNext/>
      </w:pPr>
      <w:r>
        <w:rPr>
          <w:noProof/>
        </w:rPr>
        <w:lastRenderedPageBreak/>
        <w:drawing>
          <wp:inline distT="0" distB="0" distL="0" distR="0" wp14:anchorId="422EEC88" wp14:editId="11DE1A79">
            <wp:extent cx="5943600" cy="3343275"/>
            <wp:effectExtent l="0" t="0" r="0" b="9525"/>
            <wp:docPr id="9468350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35033"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943600" cy="3343275"/>
                    </a:xfrm>
                    <a:prstGeom prst="rect">
                      <a:avLst/>
                    </a:prstGeom>
                  </pic:spPr>
                </pic:pic>
              </a:graphicData>
            </a:graphic>
          </wp:inline>
        </w:drawing>
      </w:r>
    </w:p>
    <w:p w14:paraId="55423C1D" w14:textId="1EA08EF7" w:rsidR="0058581F" w:rsidRPr="000E0C5F" w:rsidRDefault="0058581F" w:rsidP="0058581F">
      <w:pPr>
        <w:pStyle w:val="Caption"/>
        <w:rPr>
          <w:rFonts w:eastAsia="Times New Roman" w:cs="Times New Roman"/>
          <w:kern w:val="0"/>
          <w14:ligatures w14:val="none"/>
        </w:rPr>
      </w:pPr>
      <w:r>
        <w:t xml:space="preserve">Figure </w:t>
      </w:r>
      <w:r>
        <w:fldChar w:fldCharType="begin"/>
      </w:r>
      <w:r>
        <w:instrText xml:space="preserve"> SEQ Figure \* ARABIC </w:instrText>
      </w:r>
      <w:r>
        <w:fldChar w:fldCharType="separate"/>
      </w:r>
      <w:r>
        <w:rPr>
          <w:noProof/>
        </w:rPr>
        <w:t>3</w:t>
      </w:r>
      <w:r>
        <w:fldChar w:fldCharType="end"/>
      </w:r>
      <w:r>
        <w:t xml:space="preserve"> Blueprint for Implementation</w:t>
      </w:r>
    </w:p>
    <w:p w14:paraId="5BA09AD4" w14:textId="1B5146A2" w:rsidR="00ED5AC6" w:rsidRPr="000E0C5F" w:rsidRDefault="00ED5AC6">
      <w:pPr>
        <w:pStyle w:val="Heading3"/>
        <w:numPr>
          <w:ilvl w:val="2"/>
          <w:numId w:val="1"/>
        </w:numPr>
        <w:rPr>
          <w:rFonts w:eastAsia="Times New Roman"/>
        </w:rPr>
      </w:pPr>
      <w:bookmarkStart w:id="40" w:name="_Toc226533957"/>
      <w:r>
        <w:rPr>
          <w:rFonts w:eastAsia="Times New Roman"/>
        </w:rPr>
        <w:t>Phase I - Institutional</w:t>
      </w:r>
      <w:bookmarkEnd w:id="40"/>
      <w:r>
        <w:rPr>
          <w:rFonts w:eastAsia="Times New Roman"/>
        </w:rPr>
        <w:t xml:space="preserve"> </w:t>
      </w:r>
    </w:p>
    <w:p w14:paraId="060E621C" w14:textId="761C5D44" w:rsidR="00ED5AC6" w:rsidRPr="000E0C5F" w:rsidRDefault="00676065" w:rsidP="00ED5AC6">
      <w:pPr>
        <w:rPr>
          <w:rFonts w:eastAsia="Times New Roman" w:cs="Times New Roman"/>
          <w:kern w:val="0"/>
          <w14:ligatures w14:val="none"/>
        </w:rPr>
      </w:pPr>
      <w:r>
        <w:rPr>
          <w:rFonts w:eastAsia="Times New Roman" w:cs="Times New Roman"/>
          <w:kern w:val="0"/>
          <w14:ligatures w14:val="none"/>
        </w:rPr>
        <w:t>Institutionalisation must be the foundational step. A state cannot exercise space power effectively if its efforts are fragmented across uncoordinated government agencies, and it cannot expand capabilities coherently without first establishing the institutional architecture to manage them. As a minimum viable output of this phase, a state must produce three things: a formal strategic document designating a lead organisation for the space domain and articulating national space security objectives; a published doctrine document integrating space into joint operations planning; and the establishment of a dedicated Space Cell or Command with a direct reporting line to senior military leadership. Without these three outputs, a state has not completed Phase I and is not institutionally ready to proceed to Phase II. Only when the institutional architecture exists to coordinate requirements, manage external relationships, and absorb incoming data does investment in awareness infrastructure generate operational value rather than ungoverned noise.</w:t>
      </w:r>
      <w:r w:rsidR="00D02191">
        <w:rPr>
          <w:rStyle w:val="EndnoteReference"/>
          <w:rFonts w:eastAsia="Times New Roman" w:cs="Times New Roman"/>
          <w:kern w:val="0"/>
          <w14:ligatures w14:val="none"/>
        </w:rPr>
        <w:endnoteReference w:id="131"/>
      </w:r>
    </w:p>
    <w:p w14:paraId="060E621D" w14:textId="6E2528F5" w:rsidR="00ED5AC6" w:rsidRPr="000E0C5F" w:rsidRDefault="00676065" w:rsidP="00ED5AC6">
      <w:pPr>
        <w:ind w:firstLine="720"/>
        <w:rPr>
          <w:rFonts w:eastAsia="Times New Roman" w:cs="Times New Roman"/>
          <w:kern w:val="0"/>
          <w14:ligatures w14:val="none"/>
        </w:rPr>
      </w:pPr>
      <w:r>
        <w:rPr>
          <w:rFonts w:eastAsia="Times New Roman" w:cs="Times New Roman"/>
          <w:kern w:val="0"/>
          <w14:ligatures w14:val="none"/>
        </w:rPr>
        <w:lastRenderedPageBreak/>
        <w:t>The scale of the institution should be determined by its function, not by ambition. The experience of the Ukraine conflict demonstrated that when space services are reliably sourced from commercial providers and allied partners, a state can achieve substantial operational effect without massive sovereign space commands. Emerging powers should therefore embed lean, highly specialised space cells within existing intelligence, electronic warfare, or air force structures rather than constructing new bureaucratic hierarchies. The core tasks of these lean units are integration, procurement, and data fusion: coordinating with commercial providers, managing Service Level Agreements, disseminating space-derived data to the joint force, and maintaining the alliance relationships through which access to partner architectures is sustained. This scale-appropriate design is not a compromise forced by resource constraints; it is the organisationally correct model for a state whose comparative advantage lies in intelligent integration rather than sovereign capability development.</w:t>
      </w:r>
      <w:r>
        <w:rPr>
          <w:rStyle w:val="EndnoteReference"/>
        </w:rPr>
        <w:endnoteReference w:id="132"/>
      </w:r>
    </w:p>
    <w:p w14:paraId="30A321F6" w14:textId="25A8C795" w:rsidR="00ED5AC6" w:rsidRPr="000E0C5F" w:rsidRDefault="00ED5AC6">
      <w:pPr>
        <w:pStyle w:val="Heading3"/>
        <w:numPr>
          <w:ilvl w:val="2"/>
          <w:numId w:val="1"/>
        </w:numPr>
        <w:rPr>
          <w:rFonts w:eastAsia="Times New Roman"/>
        </w:rPr>
      </w:pPr>
      <w:bookmarkStart w:id="41" w:name="_Toc226533958"/>
      <w:r>
        <w:rPr>
          <w:rFonts w:eastAsia="Times New Roman"/>
        </w:rPr>
        <w:t>Phase II - Awareness</w:t>
      </w:r>
      <w:bookmarkEnd w:id="41"/>
      <w:r>
        <w:rPr>
          <w:rFonts w:eastAsia="Times New Roman"/>
        </w:rPr>
        <w:t xml:space="preserve"> </w:t>
      </w:r>
    </w:p>
    <w:p w14:paraId="50F3D4FE" w14:textId="77777777" w:rsidR="00BE143E" w:rsidRPr="00BE143E" w:rsidRDefault="00BE143E" w:rsidP="00BE143E">
      <w:pPr>
        <w:rPr>
          <w:rFonts w:eastAsia="Times New Roman" w:cs="Times New Roman"/>
          <w:kern w:val="0"/>
          <w14:ligatures w14:val="none"/>
        </w:rPr>
      </w:pPr>
      <w:r>
        <w:rPr>
          <w:rFonts w:eastAsia="Times New Roman" w:cs="Times New Roman"/>
          <w:kern w:val="0"/>
          <w14:ligatures w14:val="none"/>
        </w:rPr>
        <w:t>Phase I produces the institutional architecture; Phase II produces the two complementary awareness capabilities that architecture exists to exploit. A state that attempts to develop niche capabilities or invest in resilience before it can see its operating environment will waste resources targeting gaps it has not mapped and building redundancy for threats it has not characterised. Phase II is therefore not an optional step but the prerequisite for all that follows, and it has two distinct components.</w:t>
      </w:r>
    </w:p>
    <w:p w14:paraId="353EEB0B" w14:textId="0825B25D" w:rsidR="00BE143E" w:rsidRPr="00BE143E" w:rsidRDefault="00BE143E" w:rsidP="00B757C9">
      <w:pPr>
        <w:ind w:firstLine="504"/>
        <w:rPr>
          <w:rFonts w:eastAsia="Times New Roman" w:cs="Times New Roman"/>
          <w:kern w:val="0"/>
          <w14:ligatures w14:val="none"/>
        </w:rPr>
      </w:pPr>
      <w:r>
        <w:rPr>
          <w:rFonts w:eastAsia="Times New Roman" w:cs="Times New Roman"/>
          <w:kern w:val="0"/>
          <w14:ligatures w14:val="none"/>
        </w:rPr>
        <w:t xml:space="preserve">The first is Space Domain Awareness (SDA), the ability to observe, characterise, and attribute activity within the space environment itself. SDA is fundamental not only to operational space management but to deterrence: a state that cannot detect and publicly attribute hostile interference has no credible basis for political escalation and no means of demonstrating to an </w:t>
      </w:r>
      <w:r>
        <w:rPr>
          <w:rFonts w:eastAsia="Times New Roman" w:cs="Times New Roman"/>
          <w:kern w:val="0"/>
          <w14:ligatures w14:val="none"/>
        </w:rPr>
        <w:lastRenderedPageBreak/>
        <w:t>adversary that coercive action will be seen and named.</w:t>
      </w:r>
      <w:r w:rsidR="00D02191">
        <w:rPr>
          <w:rStyle w:val="EndnoteReference"/>
          <w:rFonts w:eastAsia="Times New Roman" w:cs="Times New Roman"/>
          <w:kern w:val="0"/>
          <w14:ligatures w14:val="none"/>
        </w:rPr>
        <w:endnoteReference w:id="133"/>
      </w:r>
      <w:r>
        <w:rPr>
          <w:rFonts w:eastAsia="Times New Roman" w:cs="Times New Roman"/>
          <w:kern w:val="0"/>
          <w14:ligatures w14:val="none"/>
        </w:rPr>
        <w:t xml:space="preserve"> Small states should prioritise the acquisition of dual-use ground-based sensors, such as primary military radar or optical telescopes, or subscribe to commercial SDA data networks provided by companies like LeoLabs or ExoAnalytic Solutions. Concurrently, they should integrate their data into allied space surveillance and tracking partnerships to build a recognised, shared space picture, contributing to collective awareness while gaining access to a far wider sensor network than they could sustain independently.</w:t>
      </w:r>
      <w:r w:rsidR="00900996">
        <w:rPr>
          <w:rStyle w:val="EndnoteReference"/>
          <w:rFonts w:eastAsia="Times New Roman" w:cs="Times New Roman"/>
          <w:kern w:val="0"/>
          <w14:ligatures w14:val="none"/>
        </w:rPr>
        <w:endnoteReference w:id="134"/>
      </w:r>
    </w:p>
    <w:p w14:paraId="20FF5CCA" w14:textId="51089A24" w:rsidR="00B757C9" w:rsidRDefault="00BE143E" w:rsidP="00B757C9">
      <w:pPr>
        <w:ind w:firstLine="504"/>
        <w:rPr>
          <w:rFonts w:eastAsia="Times New Roman" w:cs="Times New Roman"/>
          <w:kern w:val="0"/>
          <w14:ligatures w14:val="none"/>
        </w:rPr>
      </w:pPr>
      <w:r>
        <w:rPr>
          <w:rFonts w:eastAsia="Times New Roman" w:cs="Times New Roman"/>
          <w:kern w:val="0"/>
          <w14:ligatures w14:val="none"/>
        </w:rPr>
        <w:t>The second component is Space-Based Earth Observation (SBEO), the use of space-derived imagery and signals intelligence to generate awareness of the terrestrial and maritime environment. Where SDA gives a state a picture of what is happening in space, SBEO gives it a picture of what is happening on Earth, enabled by space. For a small state with a large maritime zone, constrained patrol assets, or overseas deployed forces, SBEO is often the most immediately operationally valuable form of space capability, providing persistent surveillance of areas no surface or airborne asset can cover continuously. Critically, SBEO does not require a state to own or operate satellites. Integration with allied Earth observation architectures, such as the EU's Copernicus programme and the EU Satellite Centre, or the procurement of commercial imagery through SLAs with providers offers immediate access to electro-optical, infrared, and Synthetic Aperture Radar (SAR) data. The institutional architecture established in Phase I must include the analytical capacity to exploit this data: raw imagery without trained analysts and fusion infrastructure produces no operational value.</w:t>
      </w:r>
      <w:r w:rsidR="00425657">
        <w:rPr>
          <w:rStyle w:val="EndnoteReference"/>
          <w:rFonts w:eastAsia="Times New Roman" w:cs="Times New Roman"/>
          <w:kern w:val="0"/>
          <w14:ligatures w14:val="none"/>
        </w:rPr>
        <w:endnoteReference w:id="135"/>
      </w:r>
      <w:r>
        <w:rPr>
          <w:rFonts w:eastAsia="Times New Roman" w:cs="Times New Roman"/>
          <w:kern w:val="0"/>
          <w14:ligatures w14:val="none"/>
        </w:rPr>
        <w:t xml:space="preserve"> A state that completes Phase II will have both a recognised space picture and a space-derived understanding of its own operational environment, the dual awareness foundation upon which resilience and niche capability investment can be meaningfully directed.</w:t>
      </w:r>
    </w:p>
    <w:p w14:paraId="70D66FAF" w14:textId="7DD30A17" w:rsidR="00ED5AC6" w:rsidRPr="000E0C5F" w:rsidRDefault="00B757C9" w:rsidP="00B757C9">
      <w:pPr>
        <w:ind w:firstLine="504"/>
        <w:rPr>
          <w:rFonts w:eastAsia="Times New Roman" w:cs="Times New Roman"/>
          <w:kern w:val="0"/>
          <w14:ligatures w14:val="none"/>
        </w:rPr>
      </w:pPr>
      <w:r>
        <w:rPr>
          <w:rFonts w:eastAsia="Times New Roman" w:cs="Times New Roman"/>
          <w:kern w:val="0"/>
          <w14:ligatures w14:val="none"/>
        </w:rPr>
        <w:lastRenderedPageBreak/>
        <w:t>Awareness of the space environment must also extend to the state's own dependency on space-derived services: developing the capacity to detect and characterise interference with GNSS signals and SATCOM links, distinguishing deliberate jamming from natural degradation, is a prerequisite for the resilience investment that Phase III requires and the attribution-based deterrence that the framework depends upon.</w:t>
      </w:r>
      <w:r w:rsidR="00425657">
        <w:rPr>
          <w:rStyle w:val="EndnoteReference"/>
          <w:rFonts w:eastAsia="Times New Roman" w:cs="Times New Roman"/>
          <w:kern w:val="0"/>
          <w14:ligatures w14:val="none"/>
        </w:rPr>
        <w:endnoteReference w:id="136"/>
      </w:r>
      <w:r w:rsidR="0045101A">
        <w:rPr>
          <w:rFonts w:eastAsia="Times New Roman" w:cs="Times New Roman"/>
          <w:kern w:val="0"/>
          <w14:ligatures w14:val="none"/>
        </w:rPr>
        <w:t xml:space="preserve"> </w:t>
      </w:r>
      <w:r w:rsidR="0045101A" w:rsidRPr="0045101A">
        <w:rPr>
          <w:rFonts w:eastAsia="Times New Roman" w:cs="Times New Roman"/>
          <w:kern w:val="0"/>
          <w14:ligatures w14:val="none"/>
        </w:rPr>
        <w:t>In resource-constrained conditions, Phase II should be sequenced: establish Space Domain Awareness first by integrating into allied surveillance networks and subscribing to commercial SDA data services, then build the SBEO analytical cell second, and finally develop organic GNSS and SATCOM interference monitoring as the attribution foundation for Phase III.</w:t>
      </w:r>
    </w:p>
    <w:p w14:paraId="041FEA2D" w14:textId="50D244E9" w:rsidR="00ED5AC6" w:rsidRPr="000E0C5F" w:rsidRDefault="00ED5AC6">
      <w:pPr>
        <w:pStyle w:val="Heading3"/>
        <w:numPr>
          <w:ilvl w:val="2"/>
          <w:numId w:val="1"/>
        </w:numPr>
        <w:rPr>
          <w:rFonts w:eastAsia="Times New Roman"/>
        </w:rPr>
      </w:pPr>
      <w:bookmarkStart w:id="42" w:name="_Toc226533959"/>
      <w:r>
        <w:rPr>
          <w:rFonts w:eastAsia="Times New Roman"/>
        </w:rPr>
        <w:t>Phase III - Resilience</w:t>
      </w:r>
      <w:bookmarkEnd w:id="42"/>
      <w:r>
        <w:rPr>
          <w:rFonts w:eastAsia="Times New Roman"/>
        </w:rPr>
        <w:t xml:space="preserve"> </w:t>
      </w:r>
    </w:p>
    <w:p w14:paraId="6D879085" w14:textId="713A6BBF"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Phase II maps the threat environment; Phase III hardens the state against it. Limited resilience investment can and should happen concurrently to Phase II, but increased awareness will help focus efforts: a state cannot build effective redundancy for vulnerabilities it has not identified, and it cannot prioritise the terrestrial nodes most at risk without first understanding the adversarial targeting patterns that Phase II reveals. With that awareness established, emerging powers must build multi-domain resilience through disaggregation, distribution, and diversification. Because the space domain is currently offense-dominant, it is easier and cheaper to disrupt a satellite than to defend one, the strategic logic of resilience is to make disruption operationally irrelevant rather than physically impossible.</w:t>
      </w:r>
      <w:r w:rsidR="00A605D0">
        <w:rPr>
          <w:rStyle w:val="EndnoteReference"/>
          <w:rFonts w:eastAsia="Times New Roman" w:cs="Times New Roman"/>
          <w:kern w:val="0"/>
          <w14:ligatures w14:val="none"/>
        </w:rPr>
        <w:endnoteReference w:id="137"/>
      </w:r>
      <w:r>
        <w:rPr>
          <w:rFonts w:eastAsia="Times New Roman" w:cs="Times New Roman"/>
          <w:kern w:val="0"/>
          <w14:ligatures w14:val="none"/>
        </w:rPr>
        <w:t xml:space="preserve"> This involves insulating terrestrial forces by developing non-space backups for critical functions, including Positioning, Navigation, and Timing (PNT); securing the vital terrestrial nodes of space architectures, such as ground stations, data centres, and subsea cables; and distributing reliance across multiple commercial and allied providers so that no single point of failure can simultaneously degrade all capability. </w:t>
      </w:r>
      <w:r>
        <w:rPr>
          <w:rFonts w:eastAsia="Times New Roman" w:cs="Times New Roman"/>
          <w:kern w:val="0"/>
          <w14:ligatures w14:val="none"/>
        </w:rPr>
        <w:lastRenderedPageBreak/>
        <w:t>Resilience is not a passive posture. It is an active deterrence instrument that denies an adversary the operational yield they require to justify the political cost of an attack.</w:t>
      </w:r>
      <w:r w:rsidR="00A605D0">
        <w:rPr>
          <w:rStyle w:val="EndnoteReference"/>
          <w:rFonts w:eastAsia="Times New Roman" w:cs="Times New Roman"/>
          <w:kern w:val="0"/>
          <w14:ligatures w14:val="none"/>
        </w:rPr>
        <w:endnoteReference w:id="138"/>
      </w:r>
    </w:p>
    <w:p w14:paraId="63F4B6BD" w14:textId="7EC34B64" w:rsidR="00ED5AC6" w:rsidRPr="000E0C5F" w:rsidRDefault="00ED5AC6">
      <w:pPr>
        <w:pStyle w:val="Heading3"/>
        <w:numPr>
          <w:ilvl w:val="2"/>
          <w:numId w:val="1"/>
        </w:numPr>
        <w:rPr>
          <w:rFonts w:eastAsia="Times New Roman"/>
        </w:rPr>
      </w:pPr>
      <w:bookmarkStart w:id="43" w:name="_Toc226533960"/>
      <w:r>
        <w:rPr>
          <w:rFonts w:eastAsia="Times New Roman"/>
        </w:rPr>
        <w:t>Phase IV - Niche Capability Development</w:t>
      </w:r>
      <w:bookmarkEnd w:id="43"/>
      <w:r>
        <w:rPr>
          <w:rFonts w:eastAsia="Times New Roman"/>
        </w:rPr>
        <w:t xml:space="preserve"> </w:t>
      </w:r>
    </w:p>
    <w:p w14:paraId="471C356C" w14:textId="3731B8A0"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Niche capability development is the final phase precisely because it requires everything the preceding phases have built. Without Phase I, a state has no institutional mechanism to identify which niche is strategically relevant or to integrate indigenous capability into allied architectures. Without Phase II, it cannot determine which capabilities partners already provide and which gaps genuinely require indigenous solutions. Without Phase III, it lacks the resilient foundation that makes niche investment worth protecting. Niche capability development that skips these foundations risks duplicating partner assets, producing capabilities that cannot be integrated into collective frameworks, or creating high-value targets in an environment the state is not yet resilient enough to defend. With those foundations in place, however, niche investment is transformative. Emerging powers should deliberately avoid replicating assets already provided by allies or the commercial sector, and instead focus on capabilities that convert their specific geographic, technological, or industrial position into a contribution that larger partners genuinely value.</w:t>
      </w:r>
      <w:r w:rsidR="00A605D0">
        <w:rPr>
          <w:rStyle w:val="EndnoteReference"/>
          <w:rFonts w:eastAsia="Times New Roman" w:cs="Times New Roman"/>
          <w:kern w:val="0"/>
          <w14:ligatures w14:val="none"/>
        </w:rPr>
        <w:endnoteReference w:id="139"/>
      </w:r>
      <w:r>
        <w:rPr>
          <w:rFonts w:eastAsia="Times New Roman" w:cs="Times New Roman"/>
          <w:kern w:val="0"/>
          <w14:ligatures w14:val="none"/>
        </w:rPr>
        <w:t xml:space="preserve"> A small state’s optimal niche might lie in maritime-space analytic fusion, cyberspace integration to protect ground segment infrastructure, or deploying affordable microsatellite constellations to provide sovereign Intelligence, Surveillance, and Reconnaissance (ISR). By developing specific indigenous strengths that partners rely upon, the state secures not merely a capability but a strategic “seat at the table” within international defence frameworks</w:t>
      </w:r>
      <w:r w:rsidR="005646DF">
        <w:rPr>
          <w:rFonts w:eastAsia="Times New Roman" w:cs="Times New Roman"/>
          <w:kern w:val="0"/>
          <w14:ligatures w14:val="none"/>
        </w:rPr>
        <w:t>,</w:t>
      </w:r>
      <w:r>
        <w:rPr>
          <w:rFonts w:eastAsia="Times New Roman" w:cs="Times New Roman"/>
          <w:kern w:val="0"/>
          <w14:ligatures w14:val="none"/>
        </w:rPr>
        <w:t xml:space="preserve"> a position that reinforces the entanglement deterrence logic established in the following section.</w:t>
      </w:r>
      <w:r w:rsidR="00A605D0">
        <w:rPr>
          <w:rStyle w:val="EndnoteReference"/>
          <w:rFonts w:eastAsia="Times New Roman" w:cs="Times New Roman"/>
          <w:kern w:val="0"/>
          <w14:ligatures w14:val="none"/>
        </w:rPr>
        <w:endnoteReference w:id="140"/>
      </w:r>
    </w:p>
    <w:p w14:paraId="6CAB40FA" w14:textId="27661716" w:rsidR="00ED5AC6" w:rsidRPr="000E0C5F" w:rsidRDefault="00ED5AC6">
      <w:pPr>
        <w:pStyle w:val="Heading2"/>
        <w:numPr>
          <w:ilvl w:val="1"/>
          <w:numId w:val="1"/>
        </w:numPr>
        <w:rPr>
          <w:rFonts w:eastAsia="Times New Roman"/>
        </w:rPr>
      </w:pPr>
      <w:bookmarkStart w:id="44" w:name="_Toc226533961"/>
      <w:r>
        <w:rPr>
          <w:rFonts w:eastAsia="Times New Roman"/>
        </w:rPr>
        <w:lastRenderedPageBreak/>
        <w:t>Deterrence Framework</w:t>
      </w:r>
      <w:bookmarkEnd w:id="44"/>
    </w:p>
    <w:p w14:paraId="594B3567" w14:textId="0694F291"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Traditional deterrence by punishment, the threat of massive, retaliatory force, is structurally unavailable to a non-weaponised small state. A state that lacks offensive space capabilities, fields no anti-satellite systems, and operates within a constitutionally constrained defence posture cannot credibly threaten to impose costs sufficient to deter a determined great-power adversary through punishment alone. The deterrence framework available to an emerging space power must therefore be constructed on different foundations: denial and entanglement. Deterrence by denial operates by convincing an adversary that an attack will not achieve its intended effect. If a state’s space-dependent systems are resilient, its critical functions are backed by terrestrial redundancies, and its architecture is sufficiently distributed that no single attack can achieve a decisive, disabling outcome, the rational cost-benefit calculation that underlies adversarial targeting shifts. The attack still carries political risk and operational cost; it no longer carries operational reward.</w:t>
      </w:r>
      <w:r w:rsidR="00165BDE">
        <w:rPr>
          <w:rStyle w:val="EndnoteReference"/>
          <w:rFonts w:eastAsia="Times New Roman" w:cs="Times New Roman"/>
          <w:kern w:val="0"/>
          <w14:ligatures w14:val="none"/>
        </w:rPr>
        <w:endnoteReference w:id="141"/>
      </w:r>
      <w:r>
        <w:rPr>
          <w:rFonts w:eastAsia="Times New Roman" w:cs="Times New Roman"/>
          <w:kern w:val="0"/>
          <w14:ligatures w14:val="none"/>
        </w:rPr>
        <w:t xml:space="preserve"> Deterrence by entanglement operates through a complementary mechanism. Where denial removes the operational incentive to attack, entanglement raises its political and economic cost. An emerging space power that embeds its space architecture within broader collective security frameworks and hosts infrastructure upon which more powerful actors depend converts its own vulnerability into a form of strategic weight. These two mechanisms are mutually reinforcing and together constitute a coherent, affordable deterrence posture for states that cannot project force in the space domain. The four pillars below operationalise this framework.</w:t>
      </w:r>
      <w:r w:rsidR="00165BDE">
        <w:rPr>
          <w:rStyle w:val="EndnoteReference"/>
          <w:rFonts w:eastAsia="Times New Roman" w:cs="Times New Roman"/>
          <w:kern w:val="0"/>
          <w14:ligatures w14:val="none"/>
        </w:rPr>
        <w:endnoteReference w:id="142"/>
      </w:r>
    </w:p>
    <w:p w14:paraId="04AF91F4" w14:textId="2C2A69C4" w:rsidR="00ED5AC6" w:rsidRPr="000E0C5F" w:rsidRDefault="00ED5AC6">
      <w:pPr>
        <w:pStyle w:val="Heading3"/>
        <w:numPr>
          <w:ilvl w:val="2"/>
          <w:numId w:val="1"/>
        </w:numPr>
        <w:rPr>
          <w:rFonts w:eastAsia="Times New Roman"/>
        </w:rPr>
      </w:pPr>
      <w:bookmarkStart w:id="45" w:name="_Toc226533962"/>
      <w:r>
        <w:rPr>
          <w:rFonts w:eastAsia="Times New Roman"/>
        </w:rPr>
        <w:t>Alliance Entanglement</w:t>
      </w:r>
      <w:bookmarkEnd w:id="45"/>
    </w:p>
    <w:p w14:paraId="3449FA77" w14:textId="4CF02217"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 xml:space="preserve">The deepest structural deterrent available to a small state is the alignment of its own critical space infrastructure with the architectures of more powerful partners. When a small state </w:t>
      </w:r>
      <w:r>
        <w:rPr>
          <w:rFonts w:eastAsia="Times New Roman" w:cs="Times New Roman"/>
          <w:kern w:val="0"/>
          <w14:ligatures w14:val="none"/>
        </w:rPr>
        <w:lastRenderedPageBreak/>
        <w:t>integrates its Space Domain Awareness sensors into allied surveillance networks, routes its communications through partner satellite constellations, and embeds its space cell within multilateral coordination mechanisms, it ensures that any hostile interference with its systems generates immediate, measurable effects within the broader alliance architecture. An adversary cannot target the small state in isolation: it must accept that disruption cascades laterally, degrading services upon which major alliance partners depend and triggering a collective political response far in excess of anything the small state could generate unilaterally. The message to an adversary is not “we will retaliate” but “we are not separable from those who will.”</w:t>
      </w:r>
      <w:r w:rsidR="00165BDE">
        <w:rPr>
          <w:rStyle w:val="EndnoteReference"/>
          <w:rFonts w:eastAsia="Times New Roman" w:cs="Times New Roman"/>
          <w:kern w:val="0"/>
          <w14:ligatures w14:val="none"/>
        </w:rPr>
        <w:endnoteReference w:id="143"/>
      </w:r>
      <w:r>
        <w:rPr>
          <w:rFonts w:eastAsia="Times New Roman" w:cs="Times New Roman"/>
          <w:kern w:val="0"/>
          <w14:ligatures w14:val="none"/>
        </w:rPr>
        <w:t xml:space="preserve"> Importantly, entanglement is not passive dependency. To generate genuine deterrent value, the small state must be a meaningful contributor to the alliance architecture, providing data, hosting sensors, and maintaining interoperable capabilities that partners rely upon. A state that takes without contributing creates no entanglement and earns no reciprocal guarantee.</w:t>
      </w:r>
      <w:r w:rsidR="00165BDE">
        <w:rPr>
          <w:rStyle w:val="EndnoteReference"/>
          <w:rFonts w:eastAsia="Times New Roman" w:cs="Times New Roman"/>
          <w:kern w:val="0"/>
          <w14:ligatures w14:val="none"/>
        </w:rPr>
        <w:endnoteReference w:id="144"/>
      </w:r>
    </w:p>
    <w:p w14:paraId="0EE0393E" w14:textId="6373DD38" w:rsidR="00ED5AC6" w:rsidRPr="000E0C5F" w:rsidRDefault="00ED5AC6">
      <w:pPr>
        <w:pStyle w:val="Heading3"/>
        <w:numPr>
          <w:ilvl w:val="2"/>
          <w:numId w:val="1"/>
        </w:numPr>
        <w:rPr>
          <w:rFonts w:eastAsia="Times New Roman"/>
        </w:rPr>
      </w:pPr>
      <w:bookmarkStart w:id="46" w:name="_Toc226533963"/>
      <w:r>
        <w:rPr>
          <w:rFonts w:eastAsia="Times New Roman"/>
        </w:rPr>
        <w:t>Economic Consequence for Disruption</w:t>
      </w:r>
      <w:bookmarkEnd w:id="46"/>
      <w:r>
        <w:rPr>
          <w:rFonts w:eastAsia="Times New Roman"/>
        </w:rPr>
        <w:t xml:space="preserve"> </w:t>
      </w:r>
    </w:p>
    <w:p w14:paraId="76FF18B4" w14:textId="1A850686"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A small state that hosts a concentration of globally significant digital infrastructure converts economic exposure into deterrent leverage. Space and subsea systems are not merely national assets; they are nodes in global networks upon which transnational economic activity depends. When interference with a small state’s space-reliant infrastructure would generate severe cascading disruptions to global financial markets, data flows, and commercial networks, the cost of hostile action escalates far beyond what the political objective of coercing a small state would justify.</w:t>
      </w:r>
      <w:r w:rsidR="00F546D2">
        <w:rPr>
          <w:rStyle w:val="EndnoteReference"/>
          <w:rFonts w:eastAsia="Times New Roman" w:cs="Times New Roman"/>
          <w:kern w:val="0"/>
          <w14:ligatures w14:val="none"/>
        </w:rPr>
        <w:endnoteReference w:id="145"/>
      </w:r>
      <w:r>
        <w:rPr>
          <w:rFonts w:eastAsia="Times New Roman" w:cs="Times New Roman"/>
          <w:kern w:val="0"/>
          <w14:ligatures w14:val="none"/>
        </w:rPr>
        <w:t xml:space="preserve"> This deterrent is self-generating and requires no offensive capability. It demands only that the small state’s role in global digital infrastructure be visible, credibly documented, and clearly communicated. Adversaries who rely on the same global financial systems they would disrupt face a targeting dilemma: attacking the node damages the network, and the network is </w:t>
      </w:r>
      <w:r>
        <w:rPr>
          <w:rFonts w:eastAsia="Times New Roman" w:cs="Times New Roman"/>
          <w:kern w:val="0"/>
          <w14:ligatures w14:val="none"/>
        </w:rPr>
        <w:lastRenderedPageBreak/>
        <w:t>theirs as much as anyone else’s. Economic entanglement raises the cost of aggression in precisely the domain, rational cost-benefit calculation, where grey-zone coercion is most acutely sensitive.</w:t>
      </w:r>
      <w:r w:rsidR="00F546D2">
        <w:rPr>
          <w:rStyle w:val="EndnoteReference"/>
          <w:rFonts w:eastAsia="Times New Roman" w:cs="Times New Roman"/>
          <w:kern w:val="0"/>
          <w14:ligatures w14:val="none"/>
        </w:rPr>
        <w:endnoteReference w:id="146"/>
      </w:r>
    </w:p>
    <w:p w14:paraId="6297E2E0" w14:textId="6EFAAA2C" w:rsidR="00ED5AC6" w:rsidRPr="000E0C5F" w:rsidRDefault="00ED5AC6">
      <w:pPr>
        <w:pStyle w:val="Heading3"/>
        <w:numPr>
          <w:ilvl w:val="2"/>
          <w:numId w:val="1"/>
        </w:numPr>
        <w:rPr>
          <w:rFonts w:eastAsia="Times New Roman"/>
        </w:rPr>
      </w:pPr>
      <w:bookmarkStart w:id="47" w:name="_Toc226533964"/>
      <w:r>
        <w:rPr>
          <w:rFonts w:eastAsia="Times New Roman"/>
        </w:rPr>
        <w:t>Visibility of Interference</w:t>
      </w:r>
      <w:bookmarkEnd w:id="47"/>
      <w:r>
        <w:rPr>
          <w:rFonts w:eastAsia="Times New Roman"/>
        </w:rPr>
        <w:t xml:space="preserve"> </w:t>
      </w:r>
    </w:p>
    <w:p w14:paraId="3363A621" w14:textId="36211E41"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Grey-zone coercion derives its strategic utility from ambiguity. GNSS jamming, laser dazzling, orbital proximity operations, and cyberattacks on satellite ground segments are deliberately calibrated to remain below the threshold of attributed armed conflict precisely because attribution is difficult, response is legally complex, and the international community’s tolerance for plausible deniability is high. A small state that cannot detect, characterise, and attribute these activities in a timely and credible manner has no deterrent response available to it. Space Domain Awareness is therefore not merely a military operational requirement; it is a precondition of deterrence itself.</w:t>
      </w:r>
      <w:r w:rsidR="00F546D2">
        <w:rPr>
          <w:rStyle w:val="EndnoteReference"/>
          <w:rFonts w:eastAsia="Times New Roman" w:cs="Times New Roman"/>
          <w:kern w:val="0"/>
          <w14:ligatures w14:val="none"/>
        </w:rPr>
        <w:endnoteReference w:id="147"/>
      </w:r>
      <w:r>
        <w:rPr>
          <w:rFonts w:eastAsia="Times New Roman" w:cs="Times New Roman"/>
          <w:kern w:val="0"/>
          <w14:ligatures w14:val="none"/>
        </w:rPr>
        <w:t xml:space="preserve"> For a small state, meaningful SDA does not require sovereign satellite constellations. Subscribing to commercial SDA networks, integrating into multilateral space surveillance partnerships, and investing in dual-use ground-based sensors provide the detection and attribution capability necessary to eliminate an adversary’s veil of deniability. Critically, attribution must be institutionally ready for rapid public communication: deterrence through visibility requires not only that interference be detected internally, but that it be communicated externally, through diplomatic channels, allied briefings, and public disclosure where appropriate, so that the political cost of grey-zone activity is imposed promptly and consistently. A state that visibly invests in attribution infrastructure signals to potential adversaries that attacks will be seen, named, and escalated politically. This signal alone raises the expected cost of interference and reduces the incentive for actors who prefer to operate in the dark.</w:t>
      </w:r>
      <w:r w:rsidR="00F546D2">
        <w:rPr>
          <w:rStyle w:val="EndnoteReference"/>
          <w:rFonts w:eastAsia="Times New Roman" w:cs="Times New Roman"/>
          <w:kern w:val="0"/>
          <w14:ligatures w14:val="none"/>
        </w:rPr>
        <w:endnoteReference w:id="148"/>
      </w:r>
    </w:p>
    <w:p w14:paraId="1C8991FA" w14:textId="5EA4C614" w:rsidR="00ED5AC6" w:rsidRPr="000E0C5F" w:rsidRDefault="00ED5AC6">
      <w:pPr>
        <w:pStyle w:val="Heading3"/>
        <w:numPr>
          <w:ilvl w:val="2"/>
          <w:numId w:val="1"/>
        </w:numPr>
        <w:rPr>
          <w:rFonts w:eastAsia="Times New Roman"/>
        </w:rPr>
      </w:pPr>
      <w:bookmarkStart w:id="48" w:name="_Toc226533965"/>
      <w:r>
        <w:rPr>
          <w:rFonts w:eastAsia="Times New Roman"/>
        </w:rPr>
        <w:lastRenderedPageBreak/>
        <w:t>Resilience that Denies Easy Coercion</w:t>
      </w:r>
      <w:bookmarkEnd w:id="48"/>
      <w:r>
        <w:rPr>
          <w:rFonts w:eastAsia="Times New Roman"/>
        </w:rPr>
        <w:t xml:space="preserve"> </w:t>
      </w:r>
    </w:p>
    <w:p w14:paraId="10E919D5" w14:textId="5F5779AE"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The space domain is presently offense-dominant. It is demonstrably cheaper and technically simpler to disrupt a satellite than to defend one. A state that derives its deterrence exclusively from the protection of space assets in orbit is building on structurally fragile ground. The appropriate strategic response is not to make space assets invulnerable, which is neither technically achievable nor fiscally realistic; but to make their disruption operationally irrelevant.</w:t>
      </w:r>
      <w:r w:rsidR="007231A7">
        <w:rPr>
          <w:rStyle w:val="EndnoteReference"/>
          <w:rFonts w:eastAsia="Times New Roman" w:cs="Times New Roman"/>
          <w:kern w:val="0"/>
          <w14:ligatures w14:val="none"/>
        </w:rPr>
        <w:endnoteReference w:id="149"/>
      </w:r>
      <w:r>
        <w:rPr>
          <w:rFonts w:eastAsia="Times New Roman" w:cs="Times New Roman"/>
          <w:kern w:val="0"/>
          <w14:ligatures w14:val="none"/>
        </w:rPr>
        <w:t xml:space="preserve"> If an adversary’s most plausible means of coercing a small state involves degrading its GNSS dependent navigation, disrupting its SATCOM bandwidth, or compromising its satellite ground stations, then a state that maintains robust terrestrial alternatives for each of these functions removes the coercive leverage entirely. The attack still occurs; the operational effect does not. Resilience for a small state requires investment across three lines of effort. The first is technological diversification: ensuring that critical functions, positioning, navigation, timing, communications, and intelligence, have redundant non-space alternatives capable of sustaining operations through a contested space environment, including multi-constellation GNSS receivers, advanced inertial navigation systems, and proliferated low-earth-orbit commercial communication architectures. The second is architectural disaggregation: distributing space-derived services across multiple commercial and allied providers so that no single adversarial action can simultaneously degrade all capability. The third is protection of the terrestrial architecture: securing the ground stations, data centres, and subsea cable infrastructure that constitutes the physical backbone of space-derived services. A sophisticated adversary will recognise that attacking the space segment directly is increasingly costly and observable; attacking the terrestrial nodes of the space architecture is cheaper, less attributable, and equally effective. Protecting those nodes is therefore not ancillary to space security — it is central to it. </w:t>
      </w:r>
      <w:r>
        <w:rPr>
          <w:rFonts w:eastAsia="Times New Roman" w:cs="Times New Roman"/>
          <w:kern w:val="0"/>
          <w14:ligatures w14:val="none"/>
        </w:rPr>
        <w:lastRenderedPageBreak/>
        <w:t>Together, these three lines of effort produce a posture in which the expected operational yield of attacking a small state’s space infrastructure approaches zero while the expected political cost remains significant and rising.</w:t>
      </w:r>
      <w:r w:rsidR="007231A7">
        <w:rPr>
          <w:rStyle w:val="EndnoteReference"/>
          <w:rFonts w:eastAsia="Times New Roman" w:cs="Times New Roman"/>
          <w:kern w:val="0"/>
          <w14:ligatures w14:val="none"/>
        </w:rPr>
        <w:endnoteReference w:id="150"/>
      </w:r>
    </w:p>
    <w:p w14:paraId="1A2B3C4D" w14:textId="1C093B31" w:rsidR="00ED5AC6" w:rsidRPr="000E0C5F" w:rsidRDefault="00ED5AC6" w:rsidP="002D3FCB">
      <w:pPr>
        <w:ind w:firstLine="360"/>
        <w:rPr>
          <w:rFonts w:eastAsia="Times New Roman" w:cs="Times New Roman"/>
          <w:kern w:val="0"/>
          <w14:ligatures w14:val="none"/>
        </w:rPr>
      </w:pPr>
      <w:r>
        <w:rPr>
          <w:rFonts w:eastAsia="Times New Roman" w:cs="Times New Roman"/>
          <w:kern w:val="0"/>
          <w14:ligatures w14:val="none"/>
        </w:rPr>
        <w:t>The two halves of this chapter, the phased implementation model and the deterrence framework, are not sequential but complementary. The four phases do not precede deterrence; they construct it. Completing Phase I creates the institutional architecture that makes alliance entanglement credible rather than nominal: a partner that cannot demonstrate coherent space governance earns no genuine reciprocal commitment. Completing Phase II creates the visibility of interference that underpins attribution-based deterrence: a state that cannot see hostile action cannot deter it. Completing Phase III builds the resilience that operationalises deterrence by denial: without demonstrated redundancy, an adversary has every reason to believe that disrupting space services will achieve its intended coercive effect. Completing Phase IV develops the niche contributions that convert passive alliance membership into active entanglement: a state that partners depend upon is a state that partners protect.</w:t>
      </w:r>
      <w:r w:rsidR="007231A7">
        <w:rPr>
          <w:rStyle w:val="EndnoteReference"/>
          <w:rFonts w:eastAsia="Times New Roman" w:cs="Times New Roman"/>
          <w:kern w:val="0"/>
          <w14:ligatures w14:val="none"/>
        </w:rPr>
        <w:endnoteReference w:id="151"/>
      </w:r>
      <w:r>
        <w:rPr>
          <w:rFonts w:eastAsia="Times New Roman" w:cs="Times New Roman"/>
          <w:kern w:val="0"/>
          <w14:ligatures w14:val="none"/>
        </w:rPr>
        <w:t xml:space="preserve"> The blueprint is therefore a unified system, not a menu of options. Each phase strengthens the deterrence framework, and the deterrence framework gives strategic purpose to each phase. An emerging space power that works through this sequence in order will arrive at a posture that is credible, resilient, and disproportionate to the resources invested, which is precisely the outcome that intelligent integration is designed to achieve.</w:t>
      </w:r>
      <w:r w:rsidR="007231A7">
        <w:rPr>
          <w:rStyle w:val="EndnoteReference"/>
          <w:rFonts w:eastAsia="Times New Roman" w:cs="Times New Roman"/>
          <w:kern w:val="0"/>
          <w14:ligatures w14:val="none"/>
        </w:rPr>
        <w:endnoteReference w:id="152"/>
      </w:r>
    </w:p>
    <w:p w14:paraId="08299255" w14:textId="702F8E6C" w:rsidR="00ED5AC6" w:rsidRPr="000E0C5F" w:rsidRDefault="00ED5AC6" w:rsidP="00ED5AC6">
      <w:pPr>
        <w:spacing w:after="160" w:line="278" w:lineRule="auto"/>
        <w:rPr>
          <w:rFonts w:eastAsia="Times New Roman" w:cs="Times New Roman"/>
          <w:kern w:val="0"/>
          <w14:ligatures w14:val="none"/>
        </w:rPr>
      </w:pPr>
      <w:r>
        <w:rPr>
          <w:rFonts w:eastAsia="Times New Roman" w:cs="Times New Roman"/>
          <w:kern w:val="0"/>
          <w14:ligatures w14:val="none"/>
        </w:rPr>
        <w:br w:type="page"/>
      </w:r>
    </w:p>
    <w:p w14:paraId="5990ABB0" w14:textId="29175E80" w:rsidR="00ED5AC6" w:rsidRPr="000E0C5F" w:rsidRDefault="006B3ABC">
      <w:pPr>
        <w:pStyle w:val="Heading1"/>
        <w:numPr>
          <w:ilvl w:val="0"/>
          <w:numId w:val="1"/>
        </w:numPr>
        <w:rPr>
          <w:rFonts w:eastAsia="Times New Roman"/>
        </w:rPr>
      </w:pPr>
      <w:bookmarkStart w:id="49" w:name="_Toc226533966"/>
      <w:r>
        <w:rPr>
          <w:rFonts w:eastAsia="Times New Roman"/>
        </w:rPr>
        <w:lastRenderedPageBreak/>
        <w:t>CONCLUSION</w:t>
      </w:r>
      <w:bookmarkEnd w:id="49"/>
    </w:p>
    <w:p w14:paraId="1E175854" w14:textId="5C2FD92B" w:rsidR="00ED5AC6" w:rsidRPr="000E0C5F" w:rsidRDefault="00ED5AC6" w:rsidP="00ED5AC6">
      <w:pPr>
        <w:rPr>
          <w:rFonts w:eastAsia="Times New Roman" w:cs="Times New Roman"/>
          <w:kern w:val="0"/>
          <w14:ligatures w14:val="none"/>
        </w:rPr>
      </w:pPr>
      <w:r>
        <w:rPr>
          <w:rFonts w:eastAsia="Times New Roman" w:cs="Times New Roman"/>
          <w:kern w:val="0"/>
          <w14:ligatures w14:val="none"/>
        </w:rPr>
        <w:t>For small and emerging states, exposure to space-enabled disruption is no longer a hypothetical scenario reserved for superpowers. It is deeply embedded within digitally intensive economic models, globalised trade, and the absolute centrality of data flows that tie the terrestrial and space domains together.</w:t>
      </w:r>
    </w:p>
    <w:p w14:paraId="00A45CBF" w14:textId="1993C412" w:rsidR="00ED5AC6" w:rsidRPr="000E0C5F" w:rsidRDefault="00ED5AC6" w:rsidP="00ED5AC6">
      <w:pPr>
        <w:ind w:firstLine="720"/>
        <w:rPr>
          <w:rFonts w:eastAsia="Times New Roman" w:cs="Times New Roman"/>
          <w:kern w:val="0"/>
          <w14:ligatures w14:val="none"/>
        </w:rPr>
      </w:pPr>
      <w:r>
        <w:rPr>
          <w:rFonts w:eastAsia="Times New Roman" w:cs="Times New Roman"/>
          <w:kern w:val="0"/>
          <w14:ligatures w14:val="none"/>
        </w:rPr>
        <w:t>The international security environment is undergoing a period of profound change, and geographic position or traditional policies of neutrality can no longer fully insulate a state from the systemic threats posed by malign actors in the space and cyber domains. Strategic analyses warn that capability gaps in space awareness and multi-domain defence leave less capable states dangerously exposed to grey-zone coercion and infrastructural sabotage.</w:t>
      </w:r>
      <w:r w:rsidR="002D35AE">
        <w:rPr>
          <w:rStyle w:val="EndnoteReference"/>
          <w:rFonts w:eastAsia="Times New Roman" w:cs="Times New Roman"/>
          <w:kern w:val="0"/>
          <w14:ligatures w14:val="none"/>
        </w:rPr>
        <w:endnoteReference w:id="153"/>
      </w:r>
    </w:p>
    <w:p w14:paraId="1B201001" w14:textId="2A1F3ED1" w:rsidR="00ED5AC6" w:rsidRPr="000E0C5F" w:rsidRDefault="00ED5AC6" w:rsidP="00ED5AC6">
      <w:pPr>
        <w:ind w:firstLine="720"/>
        <w:rPr>
          <w:rFonts w:eastAsia="Times New Roman" w:cs="Times New Roman"/>
          <w:kern w:val="0"/>
          <w14:ligatures w14:val="none"/>
        </w:rPr>
      </w:pPr>
      <w:r>
        <w:rPr>
          <w:rFonts w:eastAsia="Times New Roman" w:cs="Times New Roman"/>
          <w:kern w:val="0"/>
          <w14:ligatures w14:val="none"/>
        </w:rPr>
        <w:t xml:space="preserve">The urgency of this conclusion has been sharpened by developments that were not yet fully visible when traditional Irish defence planning was shaped. The 2025 US National Security Strategy signals a more transactional and hemisphere-focused American grand strategy, introducing structural uncertainty into the transatlantic order upon which Ireland’s security assumptions were historically premised. For decades, Ireland’s limited indigenous defence investment was implicitly subsidised by the deterrent effect of US hegemony and the stabilising architecture of NATO. That subsidy can no longer be taken as guaranteed. In parallel, Russia’s willingness to employ military force, cyber operations, disinformation, and strategic infrastructure mapping to alter the European security order has proven more sustained and systemic than pre-2022 assessments acknowledged. The convergence of these two dynamics, a less predictable United States and a more aggressive Russia, closes whatever residual margin of strategic passivity Ireland might once have claimed. The framework presented in this paper is </w:t>
      </w:r>
      <w:r>
        <w:rPr>
          <w:rFonts w:eastAsia="Times New Roman" w:cs="Times New Roman"/>
          <w:kern w:val="0"/>
          <w14:ligatures w14:val="none"/>
        </w:rPr>
        <w:lastRenderedPageBreak/>
        <w:t>therefore not an academic exercise in strategic modelling; it is a direct response to a demonstrably deteriorating security environment in which the cost of inaction is rising rapidly.</w:t>
      </w:r>
      <w:r w:rsidR="002D35AE">
        <w:rPr>
          <w:rStyle w:val="EndnoteReference"/>
          <w:rFonts w:eastAsia="Times New Roman" w:cs="Times New Roman"/>
          <w:kern w:val="0"/>
          <w14:ligatures w14:val="none"/>
        </w:rPr>
        <w:endnoteReference w:id="154"/>
      </w:r>
    </w:p>
    <w:p w14:paraId="3C86B0C7" w14:textId="77777777" w:rsidR="00ED5AC6" w:rsidRPr="000E0C5F" w:rsidRDefault="00ED5AC6" w:rsidP="00ED5AC6">
      <w:pPr>
        <w:ind w:firstLine="720"/>
        <w:rPr>
          <w:rFonts w:eastAsia="Times New Roman" w:cs="Times New Roman"/>
          <w:kern w:val="0"/>
          <w14:ligatures w14:val="none"/>
        </w:rPr>
      </w:pPr>
      <w:r>
        <w:rPr>
          <w:rFonts w:eastAsia="Times New Roman" w:cs="Times New Roman"/>
          <w:kern w:val="0"/>
          <w14:ligatures w14:val="none"/>
        </w:rPr>
        <w:t>The appropriate response to this systemic vulnerability is not great-power imitation. Attempting to match the sovereign, broad-spectrum space architectures of larger nations would be fiscally ruinous, strategically ineffective, and would create asymmetric vulnerabilities by over-committing limited resources. The solution for the small state is intelligent integration.</w:t>
      </w:r>
    </w:p>
    <w:p w14:paraId="4AE52C1C" w14:textId="063CDBF4" w:rsidR="003B4A9B" w:rsidRDefault="003B4A9B" w:rsidP="00ED5AC6">
      <w:pPr>
        <w:ind w:firstLine="720"/>
        <w:rPr>
          <w:rFonts w:eastAsia="Times New Roman" w:cs="Times New Roman"/>
          <w:kern w:val="0"/>
          <w14:ligatures w14:val="none"/>
        </w:rPr>
      </w:pPr>
      <w:r>
        <w:rPr>
          <w:rFonts w:eastAsia="Times New Roman" w:cs="Times New Roman"/>
          <w:kern w:val="0"/>
          <w14:ligatures w14:val="none"/>
        </w:rPr>
        <w:t>By institutionalising coherent space governance, embedding itself within collective security architectures, integrating commercial partners, specialising in niche capabilities, and building robust multi-domain resilience, an emerging space power can achieve a highly credible security posture. This blueprint offers a rational, scalable approach that converts limited means into disproportionate strategic effect, a roadmap for any small state confronting the five imperatives with constrained resources.</w:t>
      </w:r>
      <w:r w:rsidR="002D35AE">
        <w:rPr>
          <w:rStyle w:val="EndnoteReference"/>
          <w:rFonts w:eastAsia="Times New Roman" w:cs="Times New Roman"/>
          <w:kern w:val="0"/>
          <w14:ligatures w14:val="none"/>
        </w:rPr>
        <w:endnoteReference w:id="155"/>
      </w:r>
    </w:p>
    <w:p w14:paraId="1B202001" w14:textId="1A9E416E" w:rsidR="00ED5AC6" w:rsidRPr="000E0C5F" w:rsidRDefault="00ED5AC6" w:rsidP="00ED5AC6">
      <w:pPr>
        <w:ind w:firstLine="720"/>
        <w:rPr>
          <w:rFonts w:eastAsia="Times New Roman" w:cs="Times New Roman"/>
          <w:kern w:val="0"/>
          <w14:ligatures w14:val="none"/>
        </w:rPr>
      </w:pPr>
      <w:r>
        <w:rPr>
          <w:rFonts w:eastAsia="Times New Roman" w:cs="Times New Roman"/>
          <w:kern w:val="0"/>
          <w14:ligatures w14:val="none"/>
        </w:rPr>
        <w:t xml:space="preserve">For Ireland specifically, there is an additional and underappreciated dimension to this argument: space security is economic security. Ireland’s global economic model depends on perceptions of stability, reliable digital infrastructure, and secure data flows. The state hosts a concentration of hyperscaler investment, transatlantic fibre optic landing points, and data centre capacity that is of significance far exceeding Ireland’s physical size. A major cyber incident, a disruption to undersea cables, or a sustained degradation of GNSS services would carry immediate and severe reputational and financial consequences, undermining foreign direct investment and threatening the national prosperity upon which all other instruments of state power depend. The space domain is not, therefore, a niche defence concern separable from economic policy; it is a critical enabler of the economic model itself. Framing space security </w:t>
      </w:r>
      <w:r>
        <w:rPr>
          <w:rFonts w:eastAsia="Times New Roman" w:cs="Times New Roman"/>
          <w:kern w:val="0"/>
          <w14:ligatures w14:val="none"/>
        </w:rPr>
        <w:lastRenderedPageBreak/>
        <w:t>investment as a cost to be minimised fundamentally misreads its strategic function: it is, rather, insurance for the conditions that make Irish prosperity possible.</w:t>
      </w:r>
      <w:r w:rsidR="002D35AE">
        <w:rPr>
          <w:rStyle w:val="EndnoteReference"/>
          <w:rFonts w:eastAsia="Times New Roman" w:cs="Times New Roman"/>
          <w:kern w:val="0"/>
          <w14:ligatures w14:val="none"/>
        </w:rPr>
        <w:endnoteReference w:id="156"/>
      </w:r>
    </w:p>
    <w:p w14:paraId="1B203001" w14:textId="280DA4FB" w:rsidR="00ED5AC6" w:rsidRPr="000E0C5F" w:rsidRDefault="00ED5AC6" w:rsidP="00ED5AC6">
      <w:pPr>
        <w:ind w:firstLine="720"/>
        <w:rPr>
          <w:rFonts w:eastAsia="Times New Roman" w:cs="Times New Roman"/>
          <w:kern w:val="0"/>
          <w14:ligatures w14:val="none"/>
        </w:rPr>
      </w:pPr>
      <w:r>
        <w:rPr>
          <w:rFonts w:eastAsia="Times New Roman" w:cs="Times New Roman"/>
          <w:kern w:val="0"/>
          <w14:ligatures w14:val="none"/>
        </w:rPr>
        <w:t>Finally, Ireland’s investment in space security is not merely self-interested; it is a contribution to the indivisibility of European security. Ireland occupies the western flank of Europe, adjacent to critical Atlantic approaches through which the vast majority of Europe-US digital, financial, and defence communications transit. An Ireland that cannot monitor its own maritime approaches, attribute interference with its subsea infrastructure, or contribute meaningfully to collective space situational awareness is not a neutral bystander in European security, it is a gap in it. Conversely, even modest but targeted Irish capability improvements in maritime-space analytic fusion, GNSS interference monitoring, and cyber defence of ground infrastructure raise the costs of Russian coercion, complicate adversarial strategic calculations, and demonstrate that European security is genuinely indivisible on its western flank. Ireland’s credible neutrality, properly understood, is not achieved by abstaining from collective defence effort; it is achieved by contributing to the conditions that make the rules-based international order worth defending. The transition from minimalist neutrality to credible, resilient neutrality integrated with European security frameworks is therefore not a departure from Irish values, it is the most principled expression of them.</w:t>
      </w:r>
      <w:r w:rsidR="002D35AE">
        <w:rPr>
          <w:rStyle w:val="EndnoteReference"/>
          <w:rFonts w:eastAsia="Times New Roman" w:cs="Times New Roman"/>
          <w:kern w:val="0"/>
          <w14:ligatures w14:val="none"/>
        </w:rPr>
        <w:endnoteReference w:id="157"/>
      </w:r>
    </w:p>
    <w:p w14:paraId="2E31D12A" w14:textId="2B8D1832" w:rsidR="00893569" w:rsidRPr="00FF3A06" w:rsidRDefault="00ED5AC6" w:rsidP="00FF3A06">
      <w:pPr>
        <w:ind w:firstLine="720"/>
        <w:rPr>
          <w:rFonts w:eastAsia="Times New Roman"/>
          <w:kern w:val="0"/>
          <w:lang w:val="en-US"/>
          <w14:ligatures w14:val="none"/>
        </w:rPr>
      </w:pPr>
      <w:r>
        <w:rPr>
          <w:rFonts w:eastAsia="Times New Roman" w:cs="Times New Roman"/>
          <w:kern w:val="0"/>
          <w14:ligatures w14:val="none"/>
        </w:rPr>
        <w:t xml:space="preserve">Small states cannot dominate astropolitics; but they need not be passive victims of it either. Ireland’s geographic position as a transatlantic digital hub, its deep embedding within EU and NATO Partnership for Peace frameworks, and its potential to develop highly specialised maritime-space niche capabilities together constitute a strategic opportunity, not merely a vulnerability. By acting now, institutionalising space governance, investing in awareness, diversifying its space dependencies, and contributing meaningfully to collective European space </w:t>
      </w:r>
      <w:r>
        <w:rPr>
          <w:rFonts w:eastAsia="Times New Roman" w:cs="Times New Roman"/>
          <w:kern w:val="0"/>
          <w14:ligatures w14:val="none"/>
        </w:rPr>
        <w:lastRenderedPageBreak/>
        <w:t>security, Ireland can convert the logic of intelligent integration into a durable and credible deterrent posture. Crucially, the framework presented here transcends the Irish case. Any small or emerging space power facing an analogous combination of constrained resources, digital economic exposure, and contested space infrastructure can apply this model. The five imperatives define what must be achieved: coherent governance, cooperative alliances, commercial integration, niche capability, and all-force resilience.</w:t>
      </w:r>
      <w:r w:rsidR="002D35AE">
        <w:rPr>
          <w:rStyle w:val="EndnoteReference"/>
          <w:rFonts w:eastAsia="Times New Roman" w:cs="Times New Roman"/>
          <w:kern w:val="0"/>
          <w14:ligatures w14:val="none"/>
        </w:rPr>
        <w:endnoteReference w:id="158"/>
      </w:r>
      <w:r>
        <w:rPr>
          <w:rFonts w:eastAsia="Times New Roman" w:cs="Times New Roman"/>
          <w:kern w:val="0"/>
          <w14:ligatures w14:val="none"/>
        </w:rPr>
        <w:t xml:space="preserve"> The four phases define the sequence in which to build toward them: institutionalise first, build awareness second, harden resilience third, develop niche capabilities fourth. Alliances and commercial integration are the medium through which every phase operates, requiring active cultivation from the first day of institutional establishment through to the most advanced capability programme. The sequencing is deliberate, the logic is transferable, and, given the pace at which the space domain is being contested, the need is urgent.</w:t>
      </w:r>
      <w:r>
        <w:t xml:space="preserve"> </w:t>
      </w:r>
      <w:r>
        <w:rPr>
          <w:rFonts w:eastAsia="Times New Roman" w:cs="Times New Roman"/>
          <w:kern w:val="0"/>
          <w14:ligatures w14:val="none"/>
        </w:rPr>
        <w:t>A small state cannot become a giant of space power, but by standing on the shoulders of giants it can see further than its resources would ever allow alone.</w:t>
      </w:r>
      <w:r w:rsidR="00EE4C2E">
        <w:rPr>
          <w:rFonts w:eastAsia="Times New Roman" w:cs="Times New Roman"/>
          <w:kern w:val="0"/>
          <w14:ligatures w14:val="none"/>
        </w:rPr>
        <w:t xml:space="preserve"> For</w:t>
      </w:r>
      <w:r w:rsidR="00EE4C2E" w:rsidRPr="00EE4C2E">
        <w:rPr>
          <w:rFonts w:eastAsia="Times New Roman" w:cs="Times New Roman"/>
          <w:kern w:val="0"/>
          <w14:ligatures w14:val="none"/>
        </w:rPr>
        <w:t xml:space="preserve"> Ireland</w:t>
      </w:r>
      <w:r w:rsidR="00EE4C2E">
        <w:rPr>
          <w:rFonts w:eastAsia="Times New Roman" w:cs="Times New Roman"/>
          <w:kern w:val="0"/>
          <w14:ligatures w14:val="none"/>
        </w:rPr>
        <w:t>, that means</w:t>
      </w:r>
      <w:r w:rsidR="00EE4C2E" w:rsidRPr="00EE4C2E">
        <w:rPr>
          <w:rFonts w:eastAsia="Times New Roman" w:cs="Times New Roman"/>
          <w:kern w:val="0"/>
          <w14:ligatures w14:val="none"/>
        </w:rPr>
        <w:t xml:space="preserve"> act</w:t>
      </w:r>
      <w:r w:rsidR="00EE4C2E">
        <w:rPr>
          <w:rFonts w:eastAsia="Times New Roman" w:cs="Times New Roman"/>
          <w:kern w:val="0"/>
          <w14:ligatures w14:val="none"/>
        </w:rPr>
        <w:t>ing</w:t>
      </w:r>
      <w:r w:rsidR="00EE4C2E" w:rsidRPr="00EE4C2E">
        <w:rPr>
          <w:rFonts w:eastAsia="Times New Roman" w:cs="Times New Roman"/>
          <w:kern w:val="0"/>
          <w14:ligatures w14:val="none"/>
        </w:rPr>
        <w:t xml:space="preserve"> without delay: establish a dedicated Space Cell within the Air Corps, publish a national space security strategy, integrate immediately into EU and allied space surveillance architectures, contract commercial SBEO services for maritime domain awareness, and invest in the niche capabilities</w:t>
      </w:r>
      <w:r w:rsidR="00EE4C2E">
        <w:rPr>
          <w:rFonts w:eastAsia="Times New Roman" w:cs="Times New Roman"/>
          <w:kern w:val="0"/>
          <w14:ligatures w14:val="none"/>
        </w:rPr>
        <w:t xml:space="preserve">, </w:t>
      </w:r>
      <w:r w:rsidR="00EE4C2E" w:rsidRPr="00EE4C2E">
        <w:rPr>
          <w:rFonts w:eastAsia="Times New Roman" w:cs="Times New Roman"/>
          <w:kern w:val="0"/>
          <w14:ligatures w14:val="none"/>
        </w:rPr>
        <w:t>maritime-space analytic fusion, GNSS interference monitoring, and space-cyber defence</w:t>
      </w:r>
      <w:r w:rsidR="00EE4C2E">
        <w:rPr>
          <w:rFonts w:eastAsia="Times New Roman" w:cs="Times New Roman"/>
          <w:kern w:val="0"/>
          <w14:ligatures w14:val="none"/>
        </w:rPr>
        <w:t xml:space="preserve">, </w:t>
      </w:r>
      <w:r w:rsidR="00EE4C2E" w:rsidRPr="00EE4C2E">
        <w:rPr>
          <w:rFonts w:eastAsia="Times New Roman" w:cs="Times New Roman"/>
          <w:kern w:val="0"/>
          <w14:ligatures w14:val="none"/>
        </w:rPr>
        <w:t>that convert Ireland's geographic and technological position into a contribution that European security cannot afford to be without.</w:t>
      </w:r>
    </w:p>
    <w:p w14:paraId="4831F7DF" w14:textId="5E10F9CB" w:rsidR="00893569" w:rsidRPr="000E0C5F" w:rsidRDefault="00893569" w:rsidP="000F3455">
      <w:pPr>
        <w:ind w:firstLine="720"/>
        <w:rPr>
          <w:rFonts w:eastAsia="Times New Roman" w:cs="Times New Roman"/>
          <w:kern w:val="0"/>
          <w14:ligatures w14:val="none"/>
        </w:rPr>
      </w:pPr>
    </w:p>
    <w:p w14:paraId="3FFF0805" w14:textId="04757156" w:rsidR="00ED5AC6" w:rsidRPr="000E0C5F" w:rsidRDefault="00ED5AC6" w:rsidP="000F3455">
      <w:pPr>
        <w:ind w:firstLine="360"/>
        <w:rPr>
          <w:rFonts w:eastAsia="Times New Roman" w:cs="Times New Roman"/>
          <w:kern w:val="0"/>
          <w14:ligatures w14:val="none"/>
        </w:rPr>
      </w:pPr>
    </w:p>
    <w:p w14:paraId="3971910B" w14:textId="3AF8E0B0" w:rsidR="000F3455" w:rsidRPr="000E0C5F" w:rsidRDefault="00ED5AC6" w:rsidP="00ED5AC6">
      <w:pPr>
        <w:spacing w:after="160" w:line="278" w:lineRule="auto"/>
        <w:rPr>
          <w:rFonts w:eastAsia="Times New Roman" w:cs="Times New Roman"/>
          <w:kern w:val="0"/>
          <w14:ligatures w14:val="none"/>
        </w:rPr>
      </w:pPr>
      <w:r>
        <w:rPr>
          <w:rFonts w:eastAsia="Times New Roman" w:cs="Times New Roman"/>
          <w:kern w:val="0"/>
          <w14:ligatures w14:val="none"/>
        </w:rPr>
        <w:br w:type="page"/>
      </w:r>
    </w:p>
    <w:p w14:paraId="00AD9D4A" w14:textId="6DFC5C72" w:rsidR="00EE5444" w:rsidRPr="00ED5AC6" w:rsidRDefault="00ED5AC6" w:rsidP="00ED5AC6">
      <w:pPr>
        <w:spacing w:after="160" w:line="278" w:lineRule="auto"/>
        <w:rPr>
          <w:rFonts w:eastAsia="Times New Roman" w:cs="Times New Roman"/>
          <w:kern w:val="0"/>
          <w14:ligatures w14:val="none"/>
        </w:rPr>
      </w:pPr>
      <w:r>
        <w:rPr>
          <w:rFonts w:eastAsia="Times New Roman" w:cs="Times New Roman"/>
          <w:kern w:val="0"/>
          <w14:ligatures w14:val="none"/>
        </w:rPr>
        <w:lastRenderedPageBreak/>
        <w:t>Notes</w:t>
      </w:r>
    </w:p>
    <w:sectPr w:rsidR="00EE5444" w:rsidRPr="00ED5AC6" w:rsidSect="002E54E8">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9A7C" w14:textId="77777777" w:rsidR="00597A0A" w:rsidRPr="000E0C5F" w:rsidRDefault="00597A0A" w:rsidP="00157008">
      <w:pPr>
        <w:spacing w:line="240" w:lineRule="auto"/>
      </w:pPr>
      <w:r w:rsidRPr="000E0C5F">
        <w:separator/>
      </w:r>
    </w:p>
  </w:endnote>
  <w:endnote w:type="continuationSeparator" w:id="0">
    <w:p w14:paraId="6D6B2100" w14:textId="77777777" w:rsidR="00597A0A" w:rsidRPr="000E0C5F" w:rsidRDefault="00597A0A" w:rsidP="00157008">
      <w:pPr>
        <w:spacing w:line="240" w:lineRule="auto"/>
      </w:pPr>
      <w:r w:rsidRPr="000E0C5F">
        <w:continuationSeparator/>
      </w:r>
    </w:p>
  </w:endnote>
  <w:endnote w:id="1">
    <w:p w14:paraId="20DF0890" w14:textId="77777777" w:rsidR="00D125BF" w:rsidRPr="00157C03" w:rsidRDefault="00D125BF" w:rsidP="00D125B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Isaac Newton, “Letter to Robert Hooke, 5 February 1676,” in </w:t>
      </w:r>
      <w:r w:rsidRPr="00157C03">
        <w:rPr>
          <w:rFonts w:cs="Times New Roman"/>
          <w:i/>
          <w:iCs/>
          <w:sz w:val="24"/>
          <w:szCs w:val="24"/>
        </w:rPr>
        <w:t>The Correspondence of Isaac Newton</w:t>
      </w:r>
      <w:r w:rsidRPr="00157C03">
        <w:rPr>
          <w:rFonts w:cs="Times New Roman"/>
          <w:sz w:val="24"/>
          <w:szCs w:val="24"/>
        </w:rPr>
        <w:t>, vol. 2, 1676–1687, ed. H. W. Turnbull (Cambridge: Cambridge University Press, 1960), 438–39.</w:t>
      </w:r>
    </w:p>
  </w:endnote>
  <w:endnote w:id="2">
    <w:p w14:paraId="58AE2BD6" w14:textId="32E96C15" w:rsidR="00D125BF" w:rsidRPr="00157C03" w:rsidRDefault="00D125BF" w:rsidP="00D125B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w:t>
      </w:r>
      <w:r w:rsidR="000E0C5F" w:rsidRPr="00157C03">
        <w:rPr>
          <w:rFonts w:cs="Times New Roman"/>
          <w:sz w:val="24"/>
          <w:szCs w:val="24"/>
        </w:rPr>
        <w:t>Defence</w:t>
      </w:r>
      <w:r w:rsidRPr="00157C03">
        <w:rPr>
          <w:rFonts w:cs="Times New Roman"/>
          <w:sz w:val="24"/>
          <w:szCs w:val="24"/>
        </w:rPr>
        <w:t xml:space="preserve"> Policy Review 2024: Adjusting and affirming our </w:t>
      </w:r>
      <w:r w:rsidR="000E0C5F" w:rsidRPr="00157C03">
        <w:rPr>
          <w:rFonts w:cs="Times New Roman"/>
          <w:sz w:val="24"/>
          <w:szCs w:val="24"/>
        </w:rPr>
        <w:t>Defence</w:t>
      </w:r>
      <w:r w:rsidRPr="00157C03">
        <w:rPr>
          <w:rFonts w:cs="Times New Roman"/>
          <w:sz w:val="24"/>
          <w:szCs w:val="24"/>
        </w:rPr>
        <w:t xml:space="preserve"> policy in an era of change” (Newbridge, Co. Kildare: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2024), 22.</w:t>
      </w:r>
    </w:p>
  </w:endnote>
  <w:endnote w:id="3">
    <w:p w14:paraId="69F626AD" w14:textId="2AC1E9C0" w:rsidR="00D7245F" w:rsidRPr="00157C03" w:rsidRDefault="00D7245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2006), 7.</w:t>
      </w:r>
    </w:p>
  </w:endnote>
  <w:endnote w:id="4">
    <w:p w14:paraId="69E259CE" w14:textId="5C0ADB27" w:rsidR="00D7245F" w:rsidRPr="00157C03" w:rsidRDefault="00D7245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Irish Air Corps, </w:t>
      </w:r>
      <w:r w:rsidRPr="00157C03">
        <w:rPr>
          <w:rFonts w:cs="Times New Roman"/>
          <w:i/>
          <w:iCs/>
          <w:sz w:val="24"/>
          <w:szCs w:val="24"/>
        </w:rPr>
        <w:t>Force Generation Board Report June 2024</w:t>
      </w:r>
      <w:r w:rsidRPr="00157C03">
        <w:rPr>
          <w:rFonts w:cs="Times New Roman"/>
          <w:sz w:val="24"/>
          <w:szCs w:val="24"/>
        </w:rPr>
        <w:t xml:space="preserve"> (2024), citing Council of </w:t>
      </w:r>
      <w:r w:rsidR="000E0C5F" w:rsidRPr="00157C03">
        <w:rPr>
          <w:rFonts w:cs="Times New Roman"/>
          <w:sz w:val="24"/>
          <w:szCs w:val="24"/>
        </w:rPr>
        <w:t>Defence</w:t>
      </w:r>
      <w:r w:rsidRPr="00157C03">
        <w:rPr>
          <w:rFonts w:cs="Times New Roman"/>
          <w:sz w:val="24"/>
          <w:szCs w:val="24"/>
        </w:rPr>
        <w:t xml:space="preserve">, </w:t>
      </w:r>
      <w:r w:rsidRPr="00157C03">
        <w:rPr>
          <w:rFonts w:cs="Times New Roman"/>
          <w:i/>
          <w:iCs/>
          <w:sz w:val="24"/>
          <w:szCs w:val="24"/>
        </w:rPr>
        <w:t xml:space="preserve">Report of the Commission on the </w:t>
      </w:r>
      <w:r w:rsidR="000E0C5F" w:rsidRPr="00157C03">
        <w:rPr>
          <w:rFonts w:cs="Times New Roman"/>
          <w:i/>
          <w:iCs/>
          <w:sz w:val="24"/>
          <w:szCs w:val="24"/>
        </w:rPr>
        <w:t>Defence</w:t>
      </w:r>
      <w:r w:rsidRPr="00157C03">
        <w:rPr>
          <w:rFonts w:cs="Times New Roman"/>
          <w:i/>
          <w:iCs/>
          <w:sz w:val="24"/>
          <w:szCs w:val="24"/>
        </w:rPr>
        <w:t xml:space="preserve"> Forces</w:t>
      </w:r>
      <w:r w:rsidRPr="00157C03">
        <w:rPr>
          <w:rFonts w:cs="Times New Roman"/>
          <w:sz w:val="24"/>
          <w:szCs w:val="24"/>
        </w:rPr>
        <w:t xml:space="preserve"> (2022), 39.</w:t>
      </w:r>
    </w:p>
  </w:endnote>
  <w:endnote w:id="5">
    <w:p w14:paraId="25ABE435" w14:textId="613214ED" w:rsidR="00D7245F" w:rsidRPr="00157C03" w:rsidRDefault="00D7245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Carl von Clausewitz, </w:t>
      </w:r>
      <w:r w:rsidRPr="00157C03">
        <w:rPr>
          <w:rFonts w:cs="Times New Roman"/>
          <w:i/>
          <w:iCs/>
          <w:sz w:val="24"/>
          <w:szCs w:val="24"/>
        </w:rPr>
        <w:t>On War</w:t>
      </w:r>
      <w:r w:rsidRPr="00157C03">
        <w:rPr>
          <w:rFonts w:cs="Times New Roman"/>
          <w:sz w:val="24"/>
          <w:szCs w:val="24"/>
        </w:rPr>
        <w:t>, translated and edited by Michael Howard and Peter Paret (Princeton, NJ: Princeton University Press, 1989), 89.</w:t>
      </w:r>
    </w:p>
  </w:endnote>
  <w:endnote w:id="6">
    <w:p w14:paraId="68DE1A41" w14:textId="4F4AFB21" w:rsidR="00D0623F" w:rsidRPr="00157C03" w:rsidRDefault="00D0623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James Clay Moltz, </w:t>
      </w:r>
      <w:r w:rsidRPr="00157C03">
        <w:rPr>
          <w:rFonts w:cs="Times New Roman"/>
          <w:i/>
          <w:iCs/>
          <w:sz w:val="24"/>
          <w:szCs w:val="24"/>
        </w:rPr>
        <w:t>The Politics of Space Security: Strategic Restraint and the Pursuit of National Interests</w:t>
      </w:r>
      <w:r w:rsidRPr="00157C03">
        <w:rPr>
          <w:rFonts w:cs="Times New Roman"/>
          <w:sz w:val="24"/>
          <w:szCs w:val="24"/>
        </w:rPr>
        <w:t>, 3rd ed. (Stanford, CA: Stanford University Press, 2019), 344.</w:t>
      </w:r>
    </w:p>
  </w:endnote>
  <w:endnote w:id="7">
    <w:p w14:paraId="1796C092" w14:textId="6CDBE35E" w:rsidR="00916D65" w:rsidRPr="00157C03" w:rsidRDefault="00916D65">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Rudy Ruitenberg, “Space Is the New Frontier of War, Officials Say in Change of Tone,” </w:t>
      </w:r>
      <w:r w:rsidR="000E0C5F" w:rsidRPr="00157C03">
        <w:rPr>
          <w:rFonts w:cs="Times New Roman"/>
          <w:i/>
          <w:iCs/>
          <w:sz w:val="24"/>
          <w:szCs w:val="24"/>
        </w:rPr>
        <w:t>Defence</w:t>
      </w:r>
      <w:r w:rsidRPr="00157C03">
        <w:rPr>
          <w:rFonts w:cs="Times New Roman"/>
          <w:i/>
          <w:iCs/>
          <w:sz w:val="24"/>
          <w:szCs w:val="24"/>
        </w:rPr>
        <w:t xml:space="preserve"> News</w:t>
      </w:r>
      <w:r w:rsidRPr="00157C03">
        <w:rPr>
          <w:rFonts w:cs="Times New Roman"/>
          <w:sz w:val="24"/>
          <w:szCs w:val="24"/>
        </w:rPr>
        <w:t xml:space="preserve">, September 17, 2025, </w:t>
      </w:r>
      <w:hyperlink r:id="rId1" w:tgtFrame="_new" w:history="1">
        <w:r w:rsidRPr="00157C03">
          <w:rPr>
            <w:rStyle w:val="Hyperlink"/>
            <w:rFonts w:cs="Times New Roman"/>
            <w:sz w:val="24"/>
            <w:szCs w:val="24"/>
          </w:rPr>
          <w:t>https://www.</w:t>
        </w:r>
        <w:r w:rsidR="000E0C5F" w:rsidRPr="00157C03">
          <w:rPr>
            <w:rStyle w:val="Hyperlink"/>
            <w:rFonts w:cs="Times New Roman"/>
            <w:sz w:val="24"/>
            <w:szCs w:val="24"/>
          </w:rPr>
          <w:t>defence</w:t>
        </w:r>
        <w:r w:rsidRPr="00157C03">
          <w:rPr>
            <w:rStyle w:val="Hyperlink"/>
            <w:rFonts w:cs="Times New Roman"/>
            <w:sz w:val="24"/>
            <w:szCs w:val="24"/>
          </w:rPr>
          <w:t>news.com/global/europe/2025/09/17/space-is-the-new-frontier-of-war-officials-say-in-change-of-tone/</w:t>
        </w:r>
      </w:hyperlink>
      <w:r w:rsidRPr="00157C03">
        <w:rPr>
          <w:rFonts w:cs="Times New Roman"/>
          <w:sz w:val="24"/>
          <w:szCs w:val="24"/>
        </w:rPr>
        <w:t>.</w:t>
      </w:r>
    </w:p>
  </w:endnote>
  <w:endnote w:id="8">
    <w:p w14:paraId="4BBC8B8D" w14:textId="20BA3DC3" w:rsidR="00791BB9" w:rsidRPr="00157C03" w:rsidRDefault="00791BB9" w:rsidP="00791BB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European Commission and High Representative of the Union for Foreign Affairs and Security Policy, "Joint Communication to the European Parliament and the Council on the European Union Space Strategy for Security and </w:t>
      </w:r>
      <w:r w:rsidR="000E0C5F" w:rsidRPr="00157C03">
        <w:rPr>
          <w:rFonts w:cs="Times New Roman"/>
          <w:sz w:val="24"/>
          <w:szCs w:val="24"/>
        </w:rPr>
        <w:t>Defence</w:t>
      </w:r>
      <w:r w:rsidRPr="00157C03">
        <w:rPr>
          <w:rFonts w:cs="Times New Roman"/>
          <w:sz w:val="24"/>
          <w:szCs w:val="24"/>
        </w:rPr>
        <w:t>," JOIN(2023) 9 final, ST 7315/23 (Brussels, March 10, 2023), 2.</w:t>
      </w:r>
    </w:p>
  </w:endnote>
  <w:endnote w:id="9">
    <w:p w14:paraId="76CCB40C" w14:textId="77777777" w:rsidR="00791BB9" w:rsidRPr="00157C03" w:rsidRDefault="00791BB9" w:rsidP="00791BB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European Union Aviation Safety Agency, “Global Navigation Satellite System Outage and Alterations Leading to Communication / Navigation / Surveillance Degradation,” Safety Information Bulletin No. 2022-02R3, issued July 5, 2024</w:t>
      </w:r>
    </w:p>
  </w:endnote>
  <w:endnote w:id="10">
    <w:p w14:paraId="66D841B7" w14:textId="6D934C96" w:rsidR="00925AB1" w:rsidRPr="00157C03" w:rsidRDefault="00925AB1">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M.V. “Coyote” Smith, “Getting to 42: The Great Spacepower Debates,” (n.p., n.d.), </w:t>
      </w:r>
      <w:r w:rsidR="00ED5382" w:rsidRPr="00157C03">
        <w:rPr>
          <w:rFonts w:cs="Times New Roman"/>
          <w:sz w:val="24"/>
          <w:szCs w:val="24"/>
        </w:rPr>
        <w:t>27.</w:t>
      </w:r>
    </w:p>
  </w:endnote>
  <w:endnote w:id="11">
    <w:p w14:paraId="04BA7A49" w14:textId="5CC9FBFD" w:rsidR="00F76042" w:rsidRPr="00157C03" w:rsidRDefault="00F76042">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367171" w:rsidRPr="00157C03">
        <w:rPr>
          <w:rFonts w:cs="Times New Roman"/>
          <w:sz w:val="24"/>
          <w:szCs w:val="24"/>
        </w:rPr>
        <w:t xml:space="preserve">Netherlands Ministry of </w:t>
      </w:r>
      <w:r w:rsidR="000E0C5F" w:rsidRPr="00157C03">
        <w:rPr>
          <w:rFonts w:cs="Times New Roman"/>
          <w:sz w:val="24"/>
          <w:szCs w:val="24"/>
        </w:rPr>
        <w:t>Defence</w:t>
      </w:r>
      <w:r w:rsidR="00367171" w:rsidRPr="00157C03">
        <w:rPr>
          <w:rFonts w:cs="Times New Roman"/>
          <w:sz w:val="24"/>
          <w:szCs w:val="24"/>
        </w:rPr>
        <w:t>, “</w:t>
      </w:r>
      <w:r w:rsidR="000E0C5F" w:rsidRPr="00157C03">
        <w:rPr>
          <w:rFonts w:cs="Times New Roman"/>
          <w:sz w:val="24"/>
          <w:szCs w:val="24"/>
        </w:rPr>
        <w:t>Defence</w:t>
      </w:r>
      <w:r w:rsidR="00367171" w:rsidRPr="00157C03">
        <w:rPr>
          <w:rFonts w:cs="Times New Roman"/>
          <w:sz w:val="24"/>
          <w:szCs w:val="24"/>
        </w:rPr>
        <w:t xml:space="preserve"> Space Agenda,” November 2022, 10.</w:t>
      </w:r>
    </w:p>
  </w:endnote>
  <w:endnote w:id="12">
    <w:p w14:paraId="3548A6AD" w14:textId="2D6637BF" w:rsidR="00F76042" w:rsidRPr="00157C03" w:rsidRDefault="00F76042">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367171" w:rsidRPr="00157C03">
        <w:rPr>
          <w:rFonts w:cs="Times New Roman"/>
          <w:sz w:val="24"/>
          <w:szCs w:val="24"/>
        </w:rPr>
        <w:t xml:space="preserve">Netherlands Ministry of </w:t>
      </w:r>
      <w:r w:rsidR="000E0C5F" w:rsidRPr="00157C03">
        <w:rPr>
          <w:rFonts w:cs="Times New Roman"/>
          <w:sz w:val="24"/>
          <w:szCs w:val="24"/>
        </w:rPr>
        <w:t>Defence</w:t>
      </w:r>
      <w:r w:rsidR="00367171" w:rsidRPr="00157C03">
        <w:rPr>
          <w:rFonts w:cs="Times New Roman"/>
          <w:sz w:val="24"/>
          <w:szCs w:val="24"/>
        </w:rPr>
        <w:t>, “</w:t>
      </w:r>
      <w:r w:rsidR="000E0C5F" w:rsidRPr="00157C03">
        <w:rPr>
          <w:rFonts w:cs="Times New Roman"/>
          <w:sz w:val="24"/>
          <w:szCs w:val="24"/>
        </w:rPr>
        <w:t>Defence</w:t>
      </w:r>
      <w:r w:rsidR="00367171" w:rsidRPr="00157C03">
        <w:rPr>
          <w:rFonts w:cs="Times New Roman"/>
          <w:sz w:val="24"/>
          <w:szCs w:val="24"/>
        </w:rPr>
        <w:t xml:space="preserve"> Space Agenda,” November 2022, 9.</w:t>
      </w:r>
    </w:p>
  </w:endnote>
  <w:endnote w:id="13">
    <w:p w14:paraId="78A95F99" w14:textId="0D1DEDB2" w:rsidR="00BE1C61" w:rsidRPr="00157C03" w:rsidRDefault="00BE1C61">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Everett C. Dolman, </w:t>
      </w:r>
      <w:r w:rsidRPr="00157C03">
        <w:rPr>
          <w:rFonts w:cs="Times New Roman"/>
          <w:i/>
          <w:iCs/>
          <w:sz w:val="24"/>
          <w:szCs w:val="24"/>
        </w:rPr>
        <w:t>Astropolitik: Classical Geopolitics in the Space Age</w:t>
      </w:r>
      <w:r w:rsidRPr="00157C03">
        <w:rPr>
          <w:rFonts w:cs="Times New Roman"/>
          <w:sz w:val="24"/>
          <w:szCs w:val="24"/>
        </w:rPr>
        <w:t xml:space="preserve"> (London and Portland, OR: Frank Cass, 2002), 88.</w:t>
      </w:r>
    </w:p>
  </w:endnote>
  <w:endnote w:id="14">
    <w:p w14:paraId="08B92483" w14:textId="19C29F3C" w:rsidR="00BE1C61" w:rsidRPr="00157C03" w:rsidRDefault="00BE1C61">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w:t>
      </w:r>
      <w:r w:rsidR="000E0C5F" w:rsidRPr="00157C03">
        <w:rPr>
          <w:rFonts w:cs="Times New Roman"/>
          <w:sz w:val="24"/>
          <w:szCs w:val="24"/>
        </w:rPr>
        <w:t>Defence</w:t>
      </w:r>
      <w:r w:rsidRPr="00157C03">
        <w:rPr>
          <w:rFonts w:cs="Times New Roman"/>
          <w:sz w:val="24"/>
          <w:szCs w:val="24"/>
        </w:rPr>
        <w:t xml:space="preserve"> Policy Review 2024: Adjusting and affirming our </w:t>
      </w:r>
      <w:r w:rsidR="000E0C5F" w:rsidRPr="00157C03">
        <w:rPr>
          <w:rFonts w:cs="Times New Roman"/>
          <w:sz w:val="24"/>
          <w:szCs w:val="24"/>
        </w:rPr>
        <w:t>Defence</w:t>
      </w:r>
      <w:r w:rsidRPr="00157C03">
        <w:rPr>
          <w:rFonts w:cs="Times New Roman"/>
          <w:sz w:val="24"/>
          <w:szCs w:val="24"/>
        </w:rPr>
        <w:t xml:space="preserve"> policy in an era of change” (Newbridge, Co. Kildare: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2024), 19.</w:t>
      </w:r>
    </w:p>
  </w:endnote>
  <w:endnote w:id="15">
    <w:p w14:paraId="7E44F21E" w14:textId="391F1D2C" w:rsidR="00293ABE" w:rsidRPr="00157C03" w:rsidRDefault="00293ABE">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European Commission and High Representative of the Union for Foreign Affairs and Security Policy, "Joint Communication to the European Parliament and the Council on the European Union Space Strategy for Security and </w:t>
      </w:r>
      <w:r w:rsidR="000E0C5F" w:rsidRPr="00157C03">
        <w:rPr>
          <w:rFonts w:cs="Times New Roman"/>
          <w:sz w:val="24"/>
          <w:szCs w:val="24"/>
        </w:rPr>
        <w:t>Defence</w:t>
      </w:r>
      <w:r w:rsidRPr="00157C03">
        <w:rPr>
          <w:rFonts w:cs="Times New Roman"/>
          <w:sz w:val="24"/>
          <w:szCs w:val="24"/>
        </w:rPr>
        <w:t>," JOIN(2023) 9 final, ST 7315/23 (Brussels, March 10, 2023), 13.</w:t>
      </w:r>
    </w:p>
  </w:endnote>
  <w:endnote w:id="16">
    <w:p w14:paraId="5F3BEBB8" w14:textId="49F5D585" w:rsidR="004F5D8E" w:rsidRPr="00157C03" w:rsidRDefault="004F5D8E">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Council of the European Union, “Council Conclusions on the EU Space Strategy for Security and </w:t>
      </w:r>
      <w:r w:rsidR="000E0C5F" w:rsidRPr="00157C03">
        <w:rPr>
          <w:rFonts w:cs="Times New Roman"/>
          <w:sz w:val="24"/>
          <w:szCs w:val="24"/>
        </w:rPr>
        <w:t>Defence</w:t>
      </w:r>
      <w:r w:rsidRPr="00157C03">
        <w:rPr>
          <w:rFonts w:cs="Times New Roman"/>
          <w:sz w:val="24"/>
          <w:szCs w:val="24"/>
        </w:rPr>
        <w:t>,” 14512/23 (Brussels, 13 November 2023), 10.</w:t>
      </w:r>
    </w:p>
  </w:endnote>
  <w:endnote w:id="17">
    <w:p w14:paraId="6C9C462B" w14:textId="50FBDDAA" w:rsidR="00D84945" w:rsidRPr="00157C03" w:rsidRDefault="00D84945">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Charles D. Lutes and Peter L. Hays, eds., </w:t>
      </w:r>
      <w:r w:rsidRPr="00157C03">
        <w:rPr>
          <w:rFonts w:cs="Times New Roman"/>
          <w:i/>
          <w:iCs/>
          <w:sz w:val="24"/>
          <w:szCs w:val="24"/>
        </w:rPr>
        <w:t>Toward a Theory of Spacepower: Selected Essays</w:t>
      </w:r>
      <w:r w:rsidRPr="00157C03">
        <w:rPr>
          <w:rFonts w:cs="Times New Roman"/>
          <w:sz w:val="24"/>
          <w:szCs w:val="24"/>
        </w:rPr>
        <w:t xml:space="preserve"> (Washington, DC: National </w:t>
      </w:r>
      <w:r w:rsidR="000E0C5F" w:rsidRPr="00157C03">
        <w:rPr>
          <w:rFonts w:cs="Times New Roman"/>
          <w:sz w:val="24"/>
          <w:szCs w:val="24"/>
        </w:rPr>
        <w:t>Defence</w:t>
      </w:r>
      <w:r w:rsidRPr="00157C03">
        <w:rPr>
          <w:rFonts w:cs="Times New Roman"/>
          <w:sz w:val="24"/>
          <w:szCs w:val="24"/>
        </w:rPr>
        <w:t xml:space="preserve"> University Press, 2011), 74.</w:t>
      </w:r>
    </w:p>
  </w:endnote>
  <w:endnote w:id="18">
    <w:p w14:paraId="56EDABDC" w14:textId="7F4F5EC7" w:rsidR="007A5FB0" w:rsidRPr="00157C03" w:rsidRDefault="007A5FB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Peter Fortescue, Graham Swinerd, and John Stark, eds., </w:t>
      </w:r>
      <w:r w:rsidRPr="00157C03">
        <w:rPr>
          <w:rFonts w:cs="Times New Roman"/>
          <w:i/>
          <w:iCs/>
          <w:sz w:val="24"/>
          <w:szCs w:val="24"/>
        </w:rPr>
        <w:t>Spacecraft Systems Engineering</w:t>
      </w:r>
      <w:r w:rsidRPr="00157C03">
        <w:rPr>
          <w:rFonts w:cs="Times New Roman"/>
          <w:sz w:val="24"/>
          <w:szCs w:val="24"/>
        </w:rPr>
        <w:t>, 4th ed. (Chichester, UK: John Wiley &amp; Sons, 2011), 485.</w:t>
      </w:r>
    </w:p>
  </w:endnote>
  <w:endnote w:id="19">
    <w:p w14:paraId="76B70A46" w14:textId="3FEE36F5" w:rsidR="007A5FB0" w:rsidRPr="00157C03" w:rsidRDefault="007A5FB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Peter Fortescue, Graham Swinerd, and John Stark, eds., </w:t>
      </w:r>
      <w:r w:rsidRPr="00157C03">
        <w:rPr>
          <w:rFonts w:cs="Times New Roman"/>
          <w:i/>
          <w:iCs/>
          <w:sz w:val="24"/>
          <w:szCs w:val="24"/>
        </w:rPr>
        <w:t>Spacecraft Systems Engineering</w:t>
      </w:r>
      <w:r w:rsidRPr="00157C03">
        <w:rPr>
          <w:rFonts w:cs="Times New Roman"/>
          <w:sz w:val="24"/>
          <w:szCs w:val="24"/>
        </w:rPr>
        <w:t xml:space="preserve">, 4th ed. (Chichester, UK: John Wiley &amp; Sons, 2011), 479. </w:t>
      </w:r>
    </w:p>
  </w:endnote>
  <w:endnote w:id="20">
    <w:p w14:paraId="46213D41" w14:textId="73C35C8F" w:rsidR="004B462A" w:rsidRPr="00157C03" w:rsidRDefault="004B462A">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(New York: Routledge, 2006), 14.</w:t>
      </w:r>
    </w:p>
  </w:endnote>
  <w:endnote w:id="21">
    <w:p w14:paraId="7A1DDC6F" w14:textId="15CF4E4A" w:rsidR="0022728C" w:rsidRPr="00157C03" w:rsidRDefault="0022728C">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Council of the European Union, “Council Conclusions on the EU Space Strategy for Security and </w:t>
      </w:r>
      <w:r w:rsidR="000E0C5F" w:rsidRPr="00157C03">
        <w:rPr>
          <w:rFonts w:cs="Times New Roman"/>
          <w:sz w:val="24"/>
          <w:szCs w:val="24"/>
        </w:rPr>
        <w:t>Defence</w:t>
      </w:r>
      <w:r w:rsidRPr="00157C03">
        <w:rPr>
          <w:rFonts w:cs="Times New Roman"/>
          <w:sz w:val="24"/>
          <w:szCs w:val="24"/>
        </w:rPr>
        <w:t>,” 14512/23 (Brussels, 13 November 2023), 4.</w:t>
      </w:r>
    </w:p>
  </w:endnote>
  <w:endnote w:id="22">
    <w:p w14:paraId="1FCF33FC" w14:textId="77777777" w:rsidR="009976B3" w:rsidRPr="00157C03" w:rsidRDefault="009976B3" w:rsidP="009976B3">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Oxon: Routledge, 2019), 21.</w:t>
      </w:r>
    </w:p>
  </w:endnote>
  <w:endnote w:id="23">
    <w:p w14:paraId="4E302972" w14:textId="7FDBC543" w:rsidR="00C65956" w:rsidRPr="00157C03" w:rsidRDefault="00C6595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Joan Johnson-Freese, </w:t>
      </w:r>
      <w:r w:rsidRPr="00157C03">
        <w:rPr>
          <w:rFonts w:cs="Times New Roman"/>
          <w:i/>
          <w:iCs/>
          <w:sz w:val="24"/>
          <w:szCs w:val="24"/>
        </w:rPr>
        <w:t>Space as a Strategic Asset</w:t>
      </w:r>
      <w:r w:rsidRPr="00157C03">
        <w:rPr>
          <w:rFonts w:cs="Times New Roman"/>
          <w:sz w:val="24"/>
          <w:szCs w:val="24"/>
        </w:rPr>
        <w:t xml:space="preserve"> (New York: Columbia University Press, 2007), 20.</w:t>
      </w:r>
    </w:p>
  </w:endnote>
  <w:endnote w:id="24">
    <w:p w14:paraId="7B0C8B7C" w14:textId="2C8AC5DE" w:rsidR="00C65956" w:rsidRPr="00157C03" w:rsidRDefault="00C6595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James Clay Moltz, </w:t>
      </w:r>
      <w:r w:rsidRPr="00157C03">
        <w:rPr>
          <w:rFonts w:cs="Times New Roman"/>
          <w:i/>
          <w:iCs/>
          <w:sz w:val="24"/>
          <w:szCs w:val="24"/>
        </w:rPr>
        <w:t>The Politics of Space Security: Strategic Restraint and the Pursuit of National Interests</w:t>
      </w:r>
      <w:r w:rsidRPr="00157C03">
        <w:rPr>
          <w:rFonts w:cs="Times New Roman"/>
          <w:sz w:val="24"/>
          <w:szCs w:val="24"/>
        </w:rPr>
        <w:t>, 3rd ed. (Stanford, CA: Stanford University Press, 2019), 3</w:t>
      </w:r>
      <w:r w:rsidR="003459E4" w:rsidRPr="00157C03">
        <w:rPr>
          <w:rFonts w:cs="Times New Roman"/>
          <w:sz w:val="24"/>
          <w:szCs w:val="24"/>
        </w:rPr>
        <w:t>60</w:t>
      </w:r>
      <w:r w:rsidRPr="00157C03">
        <w:rPr>
          <w:rFonts w:cs="Times New Roman"/>
          <w:sz w:val="24"/>
          <w:szCs w:val="24"/>
        </w:rPr>
        <w:t>.</w:t>
      </w:r>
    </w:p>
  </w:endnote>
  <w:endnote w:id="25">
    <w:p w14:paraId="374A87A8" w14:textId="66F0E2D1" w:rsidR="003459E4" w:rsidRPr="00157C03" w:rsidRDefault="003459E4">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(New York: Routledge, 2006), 137.</w:t>
      </w:r>
    </w:p>
  </w:endnote>
  <w:endnote w:id="26">
    <w:p w14:paraId="5FCAE571" w14:textId="28F68BBC" w:rsidR="0046177D" w:rsidRPr="00157C03" w:rsidRDefault="0046177D">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Irish </w:t>
      </w:r>
      <w:r w:rsidR="000E0C5F" w:rsidRPr="00157C03">
        <w:rPr>
          <w:rFonts w:cs="Times New Roman"/>
          <w:sz w:val="24"/>
          <w:szCs w:val="24"/>
        </w:rPr>
        <w:t>Defence</w:t>
      </w:r>
      <w:r w:rsidRPr="00157C03">
        <w:rPr>
          <w:rFonts w:cs="Times New Roman"/>
          <w:sz w:val="24"/>
          <w:szCs w:val="24"/>
        </w:rPr>
        <w:t xml:space="preserve"> Forces, IRLJP-01 Military Doctrine for the Irish </w:t>
      </w:r>
      <w:r w:rsidR="000E0C5F" w:rsidRPr="00157C03">
        <w:rPr>
          <w:rFonts w:cs="Times New Roman"/>
          <w:sz w:val="24"/>
          <w:szCs w:val="24"/>
        </w:rPr>
        <w:t>Defence</w:t>
      </w:r>
      <w:r w:rsidRPr="00157C03">
        <w:rPr>
          <w:rFonts w:cs="Times New Roman"/>
          <w:sz w:val="24"/>
          <w:szCs w:val="24"/>
        </w:rPr>
        <w:t xml:space="preserve"> Forces (Dublin: </w:t>
      </w:r>
      <w:r w:rsidR="000E0C5F" w:rsidRPr="00157C03">
        <w:rPr>
          <w:rFonts w:cs="Times New Roman"/>
          <w:sz w:val="24"/>
          <w:szCs w:val="24"/>
        </w:rPr>
        <w:t>Defence</w:t>
      </w:r>
      <w:r w:rsidRPr="00157C03">
        <w:rPr>
          <w:rFonts w:cs="Times New Roman"/>
          <w:sz w:val="24"/>
          <w:szCs w:val="24"/>
        </w:rPr>
        <w:t xml:space="preserve"> Forces Printing Press, 2024), 21.</w:t>
      </w:r>
    </w:p>
  </w:endnote>
  <w:endnote w:id="27">
    <w:p w14:paraId="05F43491" w14:textId="34C6B723" w:rsidR="000674A1" w:rsidRPr="00157C03" w:rsidRDefault="000674A1">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w:t>
      </w:r>
      <w:r w:rsidR="000E0C5F" w:rsidRPr="00157C03">
        <w:rPr>
          <w:rFonts w:cs="Times New Roman"/>
          <w:sz w:val="24"/>
          <w:szCs w:val="24"/>
        </w:rPr>
        <w:t>Defence</w:t>
      </w:r>
      <w:r w:rsidRPr="00157C03">
        <w:rPr>
          <w:rFonts w:cs="Times New Roman"/>
          <w:sz w:val="24"/>
          <w:szCs w:val="24"/>
        </w:rPr>
        <w:t xml:space="preserve"> Policy Review 2024: Adjusting and affirming our </w:t>
      </w:r>
      <w:r w:rsidR="000E0C5F" w:rsidRPr="00157C03">
        <w:rPr>
          <w:rFonts w:cs="Times New Roman"/>
          <w:sz w:val="24"/>
          <w:szCs w:val="24"/>
        </w:rPr>
        <w:t>Defence</w:t>
      </w:r>
      <w:r w:rsidRPr="00157C03">
        <w:rPr>
          <w:rFonts w:cs="Times New Roman"/>
          <w:sz w:val="24"/>
          <w:szCs w:val="24"/>
        </w:rPr>
        <w:t xml:space="preserve"> policy in an era of change” (Newbridge, Co. Kildare: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2024), 22.</w:t>
      </w:r>
    </w:p>
  </w:endnote>
  <w:endnote w:id="28">
    <w:p w14:paraId="544E24D1" w14:textId="5A6EAF33" w:rsidR="00EB1075" w:rsidRPr="00157C03" w:rsidRDefault="00EB1075">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Irish </w:t>
      </w:r>
      <w:r w:rsidR="000E0C5F" w:rsidRPr="00157C03">
        <w:rPr>
          <w:rFonts w:cs="Times New Roman"/>
          <w:sz w:val="24"/>
          <w:szCs w:val="24"/>
        </w:rPr>
        <w:t>Defence</w:t>
      </w:r>
      <w:r w:rsidRPr="00157C03">
        <w:rPr>
          <w:rFonts w:cs="Times New Roman"/>
          <w:sz w:val="24"/>
          <w:szCs w:val="24"/>
        </w:rPr>
        <w:t xml:space="preserve"> Forces, IRLJP-01 Military Doctrine for the Irish </w:t>
      </w:r>
      <w:r w:rsidR="000E0C5F" w:rsidRPr="00157C03">
        <w:rPr>
          <w:rFonts w:cs="Times New Roman"/>
          <w:sz w:val="24"/>
          <w:szCs w:val="24"/>
        </w:rPr>
        <w:t>Defence</w:t>
      </w:r>
      <w:r w:rsidRPr="00157C03">
        <w:rPr>
          <w:rFonts w:cs="Times New Roman"/>
          <w:sz w:val="24"/>
          <w:szCs w:val="24"/>
        </w:rPr>
        <w:t xml:space="preserve"> Forces (Dublin: </w:t>
      </w:r>
      <w:r w:rsidR="000E0C5F" w:rsidRPr="00157C03">
        <w:rPr>
          <w:rFonts w:cs="Times New Roman"/>
          <w:sz w:val="24"/>
          <w:szCs w:val="24"/>
        </w:rPr>
        <w:t>Defence</w:t>
      </w:r>
      <w:r w:rsidRPr="00157C03">
        <w:rPr>
          <w:rFonts w:cs="Times New Roman"/>
          <w:sz w:val="24"/>
          <w:szCs w:val="24"/>
        </w:rPr>
        <w:t xml:space="preserve"> Forces Printing Press, 2024), 18.</w:t>
      </w:r>
    </w:p>
  </w:endnote>
  <w:endnote w:id="29">
    <w:p w14:paraId="020D7AC7" w14:textId="1ED21EA6" w:rsidR="00F56026" w:rsidRPr="00157C03" w:rsidRDefault="00F5602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Irish </w:t>
      </w:r>
      <w:r w:rsidR="000E0C5F" w:rsidRPr="00157C03">
        <w:rPr>
          <w:rFonts w:cs="Times New Roman"/>
          <w:sz w:val="24"/>
          <w:szCs w:val="24"/>
        </w:rPr>
        <w:t>Defence</w:t>
      </w:r>
      <w:r w:rsidRPr="00157C03">
        <w:rPr>
          <w:rFonts w:cs="Times New Roman"/>
          <w:sz w:val="24"/>
          <w:szCs w:val="24"/>
        </w:rPr>
        <w:t xml:space="preserve"> Forces, IRLJP-01 Military Doctrine for the Irish </w:t>
      </w:r>
      <w:r w:rsidR="000E0C5F" w:rsidRPr="00157C03">
        <w:rPr>
          <w:rFonts w:cs="Times New Roman"/>
          <w:sz w:val="24"/>
          <w:szCs w:val="24"/>
        </w:rPr>
        <w:t>Defence</w:t>
      </w:r>
      <w:r w:rsidRPr="00157C03">
        <w:rPr>
          <w:rFonts w:cs="Times New Roman"/>
          <w:sz w:val="24"/>
          <w:szCs w:val="24"/>
        </w:rPr>
        <w:t xml:space="preserve"> Forces (Dublin: </w:t>
      </w:r>
      <w:r w:rsidR="000E0C5F" w:rsidRPr="00157C03">
        <w:rPr>
          <w:rFonts w:cs="Times New Roman"/>
          <w:sz w:val="24"/>
          <w:szCs w:val="24"/>
        </w:rPr>
        <w:t>Defence</w:t>
      </w:r>
      <w:r w:rsidRPr="00157C03">
        <w:rPr>
          <w:rFonts w:cs="Times New Roman"/>
          <w:sz w:val="24"/>
          <w:szCs w:val="24"/>
        </w:rPr>
        <w:t xml:space="preserve"> Forces Printing Press, 2024), 18</w:t>
      </w:r>
      <w:r w:rsidR="006E4A26" w:rsidRPr="00157C03">
        <w:rPr>
          <w:rFonts w:cs="Times New Roman"/>
          <w:sz w:val="24"/>
          <w:szCs w:val="24"/>
        </w:rPr>
        <w:t>; Council of the European Union, “Council Conclusions on the EU Space Strategy for Security and Defence,” 14512/23 (Brussels, 13 November 2023), 5.</w:t>
      </w:r>
    </w:p>
  </w:endnote>
  <w:endnote w:id="30">
    <w:p w14:paraId="537F384A" w14:textId="6C97253D" w:rsidR="00F56026" w:rsidRPr="00157C03" w:rsidRDefault="00F5602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w:t>
      </w:r>
      <w:r w:rsidR="000E0C5F" w:rsidRPr="00157C03">
        <w:rPr>
          <w:rFonts w:cs="Times New Roman"/>
          <w:sz w:val="24"/>
          <w:szCs w:val="24"/>
        </w:rPr>
        <w:t>Defence</w:t>
      </w:r>
      <w:r w:rsidRPr="00157C03">
        <w:rPr>
          <w:rFonts w:cs="Times New Roman"/>
          <w:sz w:val="24"/>
          <w:szCs w:val="24"/>
        </w:rPr>
        <w:t xml:space="preserve"> Policy Review 2024: Adjusting and affirming our </w:t>
      </w:r>
      <w:r w:rsidR="000E0C5F" w:rsidRPr="00157C03">
        <w:rPr>
          <w:rFonts w:cs="Times New Roman"/>
          <w:sz w:val="24"/>
          <w:szCs w:val="24"/>
        </w:rPr>
        <w:t>Defence</w:t>
      </w:r>
      <w:r w:rsidRPr="00157C03">
        <w:rPr>
          <w:rFonts w:cs="Times New Roman"/>
          <w:sz w:val="24"/>
          <w:szCs w:val="24"/>
        </w:rPr>
        <w:t xml:space="preserve"> policy in an era of change” (Newbridge, Co. Kildare: Department of </w:t>
      </w:r>
      <w:r w:rsidR="000E0C5F" w:rsidRPr="00157C03">
        <w:rPr>
          <w:rFonts w:cs="Times New Roman"/>
          <w:sz w:val="24"/>
          <w:szCs w:val="24"/>
        </w:rPr>
        <w:t>Defence</w:t>
      </w:r>
      <w:r w:rsidRPr="00157C03">
        <w:rPr>
          <w:rFonts w:cs="Times New Roman"/>
          <w:sz w:val="24"/>
          <w:szCs w:val="24"/>
        </w:rPr>
        <w:t xml:space="preserve"> and </w:t>
      </w:r>
      <w:r w:rsidR="000E0C5F" w:rsidRPr="00157C03">
        <w:rPr>
          <w:rFonts w:cs="Times New Roman"/>
          <w:sz w:val="24"/>
          <w:szCs w:val="24"/>
        </w:rPr>
        <w:t>Defence</w:t>
      </w:r>
      <w:r w:rsidRPr="00157C03">
        <w:rPr>
          <w:rFonts w:cs="Times New Roman"/>
          <w:sz w:val="24"/>
          <w:szCs w:val="24"/>
        </w:rPr>
        <w:t xml:space="preserve"> Forces, 2024), 16.</w:t>
      </w:r>
    </w:p>
  </w:endnote>
  <w:endnote w:id="31">
    <w:p w14:paraId="42C47435" w14:textId="29CE217F" w:rsidR="00F56026" w:rsidRPr="00157C03" w:rsidRDefault="00F5602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Irish </w:t>
      </w:r>
      <w:r w:rsidR="000E0C5F" w:rsidRPr="00157C03">
        <w:rPr>
          <w:rFonts w:cs="Times New Roman"/>
          <w:sz w:val="24"/>
          <w:szCs w:val="24"/>
        </w:rPr>
        <w:t>Defence</w:t>
      </w:r>
      <w:r w:rsidRPr="00157C03">
        <w:rPr>
          <w:rFonts w:cs="Times New Roman"/>
          <w:sz w:val="24"/>
          <w:szCs w:val="24"/>
        </w:rPr>
        <w:t xml:space="preserve"> Forces, IRLJP-01 Military Doctrine for the Irish </w:t>
      </w:r>
      <w:r w:rsidR="000E0C5F" w:rsidRPr="00157C03">
        <w:rPr>
          <w:rFonts w:cs="Times New Roman"/>
          <w:sz w:val="24"/>
          <w:szCs w:val="24"/>
        </w:rPr>
        <w:t>Defence</w:t>
      </w:r>
      <w:r w:rsidRPr="00157C03">
        <w:rPr>
          <w:rFonts w:cs="Times New Roman"/>
          <w:sz w:val="24"/>
          <w:szCs w:val="24"/>
        </w:rPr>
        <w:t xml:space="preserve"> Forces (Dublin: </w:t>
      </w:r>
      <w:r w:rsidR="000E0C5F" w:rsidRPr="00157C03">
        <w:rPr>
          <w:rFonts w:cs="Times New Roman"/>
          <w:sz w:val="24"/>
          <w:szCs w:val="24"/>
        </w:rPr>
        <w:t>Defence</w:t>
      </w:r>
      <w:r w:rsidRPr="00157C03">
        <w:rPr>
          <w:rFonts w:cs="Times New Roman"/>
          <w:sz w:val="24"/>
          <w:szCs w:val="24"/>
        </w:rPr>
        <w:t xml:space="preserve"> Forces Printing Press, 2024), 57.</w:t>
      </w:r>
    </w:p>
  </w:endnote>
  <w:endnote w:id="32">
    <w:p w14:paraId="7FF51164" w14:textId="68734796" w:rsidR="009F45D2" w:rsidRPr="00157C03" w:rsidRDefault="009F45D2">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E46B6B" w:rsidRPr="00157C03">
        <w:rPr>
          <w:rFonts w:cs="Times New Roman"/>
          <w:sz w:val="24"/>
          <w:szCs w:val="24"/>
        </w:rPr>
        <w:t xml:space="preserve">Commission on the </w:t>
      </w:r>
      <w:r w:rsidR="000E0C5F" w:rsidRPr="00157C03">
        <w:rPr>
          <w:rFonts w:cs="Times New Roman"/>
          <w:sz w:val="24"/>
          <w:szCs w:val="24"/>
        </w:rPr>
        <w:t>Defence</w:t>
      </w:r>
      <w:r w:rsidR="00E46B6B" w:rsidRPr="00157C03">
        <w:rPr>
          <w:rFonts w:cs="Times New Roman"/>
          <w:sz w:val="24"/>
          <w:szCs w:val="24"/>
        </w:rPr>
        <w:t xml:space="preserve"> Forces, </w:t>
      </w:r>
      <w:r w:rsidR="00E46B6B" w:rsidRPr="00157C03">
        <w:rPr>
          <w:rFonts w:cs="Times New Roman"/>
          <w:i/>
          <w:iCs/>
          <w:sz w:val="24"/>
          <w:szCs w:val="24"/>
        </w:rPr>
        <w:t xml:space="preserve">Report of the Commission on the </w:t>
      </w:r>
      <w:r w:rsidR="000E0C5F" w:rsidRPr="00157C03">
        <w:rPr>
          <w:rFonts w:cs="Times New Roman"/>
          <w:i/>
          <w:iCs/>
          <w:sz w:val="24"/>
          <w:szCs w:val="24"/>
        </w:rPr>
        <w:t>Defence</w:t>
      </w:r>
      <w:r w:rsidR="00E46B6B" w:rsidRPr="00157C03">
        <w:rPr>
          <w:rFonts w:cs="Times New Roman"/>
          <w:i/>
          <w:iCs/>
          <w:sz w:val="24"/>
          <w:szCs w:val="24"/>
        </w:rPr>
        <w:t xml:space="preserve"> Forces 2022</w:t>
      </w:r>
      <w:r w:rsidR="00E46B6B" w:rsidRPr="00157C03">
        <w:rPr>
          <w:rFonts w:cs="Times New Roman"/>
          <w:sz w:val="24"/>
          <w:szCs w:val="24"/>
        </w:rPr>
        <w:t xml:space="preserve"> (Dublin, Ireland, 2022), 46.</w:t>
      </w:r>
    </w:p>
  </w:endnote>
  <w:endnote w:id="33">
    <w:p w14:paraId="235BD55A" w14:textId="77777777" w:rsidR="00B843EB" w:rsidRPr="00157C03" w:rsidRDefault="00B843EB" w:rsidP="00B843EB">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Carl von Clausewitz, On War, ed. and trans. by Michael Howard and Peter Paret</w:t>
      </w:r>
    </w:p>
    <w:p w14:paraId="1514AF12" w14:textId="77777777" w:rsidR="00B843EB" w:rsidRPr="00157C03" w:rsidRDefault="00B843EB" w:rsidP="00B843EB">
      <w:pPr>
        <w:pStyle w:val="EndnoteText"/>
        <w:rPr>
          <w:rFonts w:cs="Times New Roman"/>
          <w:sz w:val="24"/>
          <w:szCs w:val="24"/>
        </w:rPr>
      </w:pPr>
      <w:r w:rsidRPr="00157C03">
        <w:rPr>
          <w:rFonts w:cs="Times New Roman"/>
          <w:sz w:val="24"/>
          <w:szCs w:val="24"/>
        </w:rPr>
        <w:t>(Princeton: Princeton University Press, 1984) 87.</w:t>
      </w:r>
    </w:p>
  </w:endnote>
  <w:endnote w:id="34">
    <w:p w14:paraId="558D030E" w14:textId="77777777" w:rsidR="00B843EB" w:rsidRPr="00157C03" w:rsidRDefault="00B843EB" w:rsidP="00B843EB">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Thucydides, The Landmark Thucydides: A Comprehensive Guide to the Peloponnesian War, ed. Robert B. Strassler, trans. Richard Crawley (New York: Free Press, 1996), 352.</w:t>
      </w:r>
    </w:p>
  </w:endnote>
  <w:endnote w:id="35">
    <w:p w14:paraId="30568F61" w14:textId="77777777" w:rsidR="00313E8B" w:rsidRPr="00157C03" w:rsidRDefault="00313E8B" w:rsidP="00313E8B">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Carl von Clausewitz, On War, ed. and trans. by Michael Howard and Peter Paret</w:t>
      </w:r>
    </w:p>
    <w:p w14:paraId="51E887A4" w14:textId="1FF3E10A" w:rsidR="00313E8B" w:rsidRPr="00157C03" w:rsidRDefault="00313E8B" w:rsidP="00313E8B">
      <w:pPr>
        <w:pStyle w:val="EndnoteText"/>
        <w:rPr>
          <w:rFonts w:cs="Times New Roman"/>
          <w:sz w:val="24"/>
          <w:szCs w:val="24"/>
        </w:rPr>
      </w:pPr>
      <w:r w:rsidRPr="00157C03">
        <w:rPr>
          <w:rFonts w:cs="Times New Roman"/>
          <w:sz w:val="24"/>
          <w:szCs w:val="24"/>
        </w:rPr>
        <w:t>(Princeton: Princeton University Press, 1984), 94.</w:t>
      </w:r>
    </w:p>
  </w:endnote>
  <w:endnote w:id="36">
    <w:p w14:paraId="1DBB0ECC" w14:textId="77777777" w:rsidR="00B843EB" w:rsidRPr="00157C03" w:rsidRDefault="00B843EB" w:rsidP="00B843EB">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Carl von Clausewitz, On War, ed. and trans. by Michael Howard and Peter Paret</w:t>
      </w:r>
    </w:p>
    <w:p w14:paraId="2C33725D" w14:textId="77777777" w:rsidR="00B843EB" w:rsidRPr="00157C03" w:rsidRDefault="00B843EB" w:rsidP="00B843EB">
      <w:pPr>
        <w:pStyle w:val="EndnoteText"/>
        <w:rPr>
          <w:rFonts w:cs="Times New Roman"/>
          <w:sz w:val="24"/>
          <w:szCs w:val="24"/>
        </w:rPr>
      </w:pPr>
      <w:r w:rsidRPr="00157C03">
        <w:rPr>
          <w:rFonts w:cs="Times New Roman"/>
          <w:sz w:val="24"/>
          <w:szCs w:val="24"/>
        </w:rPr>
        <w:t>(Princeton: Princeton University Press, 1984), 358.</w:t>
      </w:r>
    </w:p>
  </w:endnote>
  <w:endnote w:id="37">
    <w:p w14:paraId="4CB733D9" w14:textId="77777777" w:rsidR="00B843EB" w:rsidRPr="00157C03" w:rsidRDefault="00B843EB" w:rsidP="00B843EB">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Michael J. Mazarr, </w:t>
      </w:r>
      <w:r w:rsidRPr="00157C03">
        <w:rPr>
          <w:rFonts w:cs="Times New Roman"/>
          <w:i/>
          <w:iCs/>
          <w:sz w:val="24"/>
          <w:szCs w:val="24"/>
        </w:rPr>
        <w:t>Understanding Deterrence</w:t>
      </w:r>
      <w:r w:rsidRPr="00157C03">
        <w:rPr>
          <w:rFonts w:cs="Times New Roman"/>
          <w:sz w:val="24"/>
          <w:szCs w:val="24"/>
        </w:rPr>
        <w:t xml:space="preserve"> (Santa Monica, CA: RAND Corporation, 2018), 4.</w:t>
      </w:r>
    </w:p>
  </w:endnote>
  <w:endnote w:id="38">
    <w:p w14:paraId="393F8417" w14:textId="77777777" w:rsidR="009B2870" w:rsidRPr="00157C03" w:rsidRDefault="009B2870" w:rsidP="009B287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Carl von Clausewitz, On War, ed. and trans. by Michael Howard and Peter Paret</w:t>
      </w:r>
    </w:p>
    <w:p w14:paraId="0B4E4A9C" w14:textId="54BB31A8" w:rsidR="009B2870" w:rsidRPr="00157C03" w:rsidRDefault="009B2870" w:rsidP="009B2870">
      <w:pPr>
        <w:pStyle w:val="EndnoteText"/>
        <w:rPr>
          <w:rFonts w:cs="Times New Roman"/>
          <w:sz w:val="24"/>
          <w:szCs w:val="24"/>
        </w:rPr>
      </w:pPr>
      <w:r w:rsidRPr="00157C03">
        <w:rPr>
          <w:rFonts w:cs="Times New Roman"/>
          <w:sz w:val="24"/>
          <w:szCs w:val="24"/>
        </w:rPr>
        <w:t>(Princeton: Princeton University Press, 1984), 94.</w:t>
      </w:r>
    </w:p>
  </w:endnote>
  <w:endnote w:id="39">
    <w:p w14:paraId="511CFD0F" w14:textId="149C3125" w:rsidR="0039501A" w:rsidRPr="00157C03" w:rsidRDefault="0039501A">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Oxon: Routledge, 2019), 163.</w:t>
      </w:r>
    </w:p>
  </w:endnote>
  <w:endnote w:id="40">
    <w:p w14:paraId="596ACC9E" w14:textId="5D5B50F0" w:rsidR="005B42A3" w:rsidRPr="00157C03" w:rsidRDefault="005B42A3">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B. H. Liddell Hart, </w:t>
      </w:r>
      <w:r w:rsidRPr="00157C03">
        <w:rPr>
          <w:rFonts w:cs="Times New Roman"/>
          <w:i/>
          <w:iCs/>
          <w:sz w:val="24"/>
          <w:szCs w:val="24"/>
        </w:rPr>
        <w:t>Strategy: Second Revised Edition</w:t>
      </w:r>
      <w:r w:rsidRPr="00157C03">
        <w:rPr>
          <w:rFonts w:cs="Times New Roman"/>
          <w:sz w:val="24"/>
          <w:szCs w:val="24"/>
        </w:rPr>
        <w:t xml:space="preserve"> (New York: Plume, 1991), 325.</w:t>
      </w:r>
    </w:p>
  </w:endnote>
  <w:endnote w:id="41">
    <w:p w14:paraId="1F511BE1" w14:textId="2D0BC71B" w:rsidR="00F375CF" w:rsidRPr="00157C03" w:rsidRDefault="00F375CF">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Carl von Clausewitz, </w:t>
      </w:r>
      <w:r w:rsidRPr="00157C03">
        <w:rPr>
          <w:rFonts w:cs="Times New Roman"/>
          <w:i/>
          <w:iCs/>
          <w:sz w:val="24"/>
          <w:szCs w:val="24"/>
        </w:rPr>
        <w:t>On War</w:t>
      </w:r>
      <w:r w:rsidRPr="00157C03">
        <w:rPr>
          <w:rFonts w:cs="Times New Roman"/>
          <w:sz w:val="24"/>
          <w:szCs w:val="24"/>
        </w:rPr>
        <w:t>, ed. and trans. Michael Howard and Peter Paret (Princeton: Princeton University Press, 1976), 87.</w:t>
      </w:r>
    </w:p>
  </w:endnote>
  <w:endnote w:id="42">
    <w:p w14:paraId="2D75AF39" w14:textId="6E7B089B" w:rsidR="00F375CF" w:rsidRPr="00157C03" w:rsidRDefault="00F375CF">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B. H. Liddell Hart, </w:t>
      </w:r>
      <w:r w:rsidRPr="00157C03">
        <w:rPr>
          <w:rFonts w:cs="Times New Roman"/>
          <w:i/>
          <w:iCs/>
          <w:sz w:val="24"/>
          <w:szCs w:val="24"/>
        </w:rPr>
        <w:t>Strategy: The Indirect Approach</w:t>
      </w:r>
      <w:r w:rsidRPr="00157C03">
        <w:rPr>
          <w:rFonts w:cs="Times New Roman"/>
          <w:sz w:val="24"/>
          <w:szCs w:val="24"/>
        </w:rPr>
        <w:t xml:space="preserve"> (London: Faber and Faber, 1967)</w:t>
      </w:r>
    </w:p>
  </w:endnote>
  <w:endnote w:id="43">
    <w:p w14:paraId="608745F5" w14:textId="5DFF0FB0" w:rsidR="00F375CF" w:rsidRPr="00157C03" w:rsidRDefault="00F375CF">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John M. Logsdon, "Emerging Domestic Structures: Organizing the Presidency for Spacepower," in </w:t>
      </w:r>
      <w:r w:rsidRPr="00157C03">
        <w:rPr>
          <w:rFonts w:cs="Times New Roman"/>
          <w:i/>
          <w:iCs/>
          <w:sz w:val="24"/>
          <w:szCs w:val="24"/>
        </w:rPr>
        <w:t>Toward a Theory of Spacepower: Selected Essays</w:t>
      </w:r>
      <w:r w:rsidRPr="00157C03">
        <w:rPr>
          <w:rFonts w:cs="Times New Roman"/>
          <w:sz w:val="24"/>
          <w:szCs w:val="24"/>
        </w:rPr>
        <w:t>, ed. Charles D. Lutes and Peter L. Hays (Washington, DC: National Defense University Press, 2011)</w:t>
      </w:r>
    </w:p>
  </w:endnote>
  <w:endnote w:id="44">
    <w:p w14:paraId="6D97A4C0" w14:textId="352D22C9" w:rsidR="00F375CF" w:rsidRPr="00157C03" w:rsidRDefault="00F375CF">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w:t>
      </w:r>
      <w:r w:rsidRPr="00157C03">
        <w:rPr>
          <w:rFonts w:cs="Times New Roman"/>
          <w:i/>
          <w:iCs/>
          <w:sz w:val="24"/>
          <w:szCs w:val="24"/>
        </w:rPr>
        <w:t>Military Doctrine for the Irish Defence Forces</w:t>
      </w:r>
      <w:r w:rsidRPr="00157C03">
        <w:rPr>
          <w:rFonts w:cs="Times New Roman"/>
          <w:sz w:val="24"/>
          <w:szCs w:val="24"/>
        </w:rPr>
        <w:t xml:space="preserve"> (IRLJP-01) (Dublin: Óglaigh na hÉireann, 2024).</w:t>
      </w:r>
    </w:p>
  </w:endnote>
  <w:endnote w:id="45">
    <w:p w14:paraId="13A1DA64" w14:textId="15AD87C3" w:rsidR="00F375CF" w:rsidRPr="00157C03" w:rsidRDefault="00F375CF">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Harold Seidman, </w:t>
      </w:r>
      <w:r w:rsidRPr="00157C03">
        <w:rPr>
          <w:rFonts w:cs="Times New Roman"/>
          <w:i/>
          <w:iCs/>
          <w:sz w:val="24"/>
          <w:szCs w:val="24"/>
        </w:rPr>
        <w:t>Politics, Position, and Power: The Dynamics of Federal Organization</w:t>
      </w:r>
      <w:r w:rsidRPr="00157C03">
        <w:rPr>
          <w:rFonts w:cs="Times New Roman"/>
          <w:sz w:val="24"/>
          <w:szCs w:val="24"/>
        </w:rPr>
        <w:t xml:space="preserve"> (New York: Oxford University Press, 1970), quoted in John M. Logsdon, "Emerging Domestic Structures: Organizing the Presidency for Spacepower," in </w:t>
      </w:r>
      <w:r w:rsidRPr="00157C03">
        <w:rPr>
          <w:rFonts w:cs="Times New Roman"/>
          <w:i/>
          <w:iCs/>
          <w:sz w:val="24"/>
          <w:szCs w:val="24"/>
        </w:rPr>
        <w:t>Toward a Theory of Spacepower: Selected Essays</w:t>
      </w:r>
      <w:r w:rsidRPr="00157C03">
        <w:rPr>
          <w:rFonts w:cs="Times New Roman"/>
          <w:sz w:val="24"/>
          <w:szCs w:val="24"/>
        </w:rPr>
        <w:t>, ed. Charles D. Lutes and Peter L. Hays (Washington, DC: National Defense University Press, 2011), 297.</w:t>
      </w:r>
    </w:p>
  </w:endnote>
  <w:endnote w:id="46">
    <w:p w14:paraId="093F165B" w14:textId="4AAA6BBA" w:rsidR="00583C06" w:rsidRPr="00157C03" w:rsidRDefault="00583C0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(New York: Routledge, 2006), 80.</w:t>
      </w:r>
    </w:p>
  </w:endnote>
  <w:endnote w:id="47">
    <w:p w14:paraId="119DBD8A" w14:textId="4748CB19" w:rsidR="00583C06" w:rsidRPr="00157C03" w:rsidRDefault="00583C0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(New York: Routledge, 2006), 218.</w:t>
      </w:r>
    </w:p>
  </w:endnote>
  <w:endnote w:id="48">
    <w:p w14:paraId="33839CFA" w14:textId="77777777" w:rsidR="00C64A09" w:rsidRPr="00157C03" w:rsidRDefault="00C64A09" w:rsidP="00C64A0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Oxon: Routledge, 2019), 132.</w:t>
      </w:r>
    </w:p>
  </w:endnote>
  <w:endnote w:id="49">
    <w:p w14:paraId="17AE3F0F" w14:textId="4FBEAA3C" w:rsidR="00C64A09" w:rsidRPr="00157C03" w:rsidRDefault="00C64A0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Charles D. Lutes and Peter L. Hays, eds., </w:t>
      </w:r>
      <w:r w:rsidRPr="00157C03">
        <w:rPr>
          <w:rFonts w:cs="Times New Roman"/>
          <w:i/>
          <w:iCs/>
          <w:sz w:val="24"/>
          <w:szCs w:val="24"/>
        </w:rPr>
        <w:t>Toward a Theory of Spacepower: Selected Essays</w:t>
      </w:r>
      <w:r w:rsidRPr="00157C03">
        <w:rPr>
          <w:rFonts w:cs="Times New Roman"/>
          <w:sz w:val="24"/>
          <w:szCs w:val="24"/>
        </w:rPr>
        <w:t xml:space="preserve"> (Washington, DC: National </w:t>
      </w:r>
      <w:r w:rsidR="000E0C5F" w:rsidRPr="00157C03">
        <w:rPr>
          <w:rFonts w:cs="Times New Roman"/>
          <w:sz w:val="24"/>
          <w:szCs w:val="24"/>
        </w:rPr>
        <w:t>Defence</w:t>
      </w:r>
      <w:r w:rsidRPr="00157C03">
        <w:rPr>
          <w:rFonts w:cs="Times New Roman"/>
          <w:sz w:val="24"/>
          <w:szCs w:val="24"/>
        </w:rPr>
        <w:t xml:space="preserve"> University Press, 2011), 576.</w:t>
      </w:r>
    </w:p>
  </w:endnote>
  <w:endnote w:id="50">
    <w:p w14:paraId="299EA72D" w14:textId="681C7DE6" w:rsidR="00C459E9" w:rsidRPr="00157C03" w:rsidRDefault="00C459E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Charles D. Lutes and Peter L. Hays, eds., </w:t>
      </w:r>
      <w:r w:rsidRPr="00157C03">
        <w:rPr>
          <w:rFonts w:cs="Times New Roman"/>
          <w:i/>
          <w:iCs/>
          <w:sz w:val="24"/>
          <w:szCs w:val="24"/>
        </w:rPr>
        <w:t>Toward a Theory of Spacepower: Selected Essays</w:t>
      </w:r>
      <w:r w:rsidRPr="00157C03">
        <w:rPr>
          <w:rFonts w:cs="Times New Roman"/>
          <w:sz w:val="24"/>
          <w:szCs w:val="24"/>
        </w:rPr>
        <w:t xml:space="preserve"> (Washington, DC: National </w:t>
      </w:r>
      <w:r w:rsidR="000E0C5F" w:rsidRPr="00157C03">
        <w:rPr>
          <w:rFonts w:cs="Times New Roman"/>
          <w:sz w:val="24"/>
          <w:szCs w:val="24"/>
        </w:rPr>
        <w:t>Defence</w:t>
      </w:r>
      <w:r w:rsidRPr="00157C03">
        <w:rPr>
          <w:rFonts w:cs="Times New Roman"/>
          <w:sz w:val="24"/>
          <w:szCs w:val="24"/>
        </w:rPr>
        <w:t xml:space="preserve"> University Press, 2011), 176.</w:t>
      </w:r>
    </w:p>
  </w:endnote>
  <w:endnote w:id="51">
    <w:p w14:paraId="2A7AC14A" w14:textId="3A7AEFD0" w:rsidR="00C459E9" w:rsidRPr="00157C03" w:rsidRDefault="00C459E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Oxon: Routledge, 2019), 132.</w:t>
      </w:r>
    </w:p>
  </w:endnote>
  <w:endnote w:id="52">
    <w:p w14:paraId="6FAA7395" w14:textId="7112AA5B" w:rsidR="005B5AA8" w:rsidRPr="00157C03" w:rsidRDefault="005B5AA8">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James Oberg, </w:t>
      </w:r>
      <w:r w:rsidRPr="00157C03">
        <w:rPr>
          <w:rFonts w:cs="Times New Roman"/>
          <w:i/>
          <w:iCs/>
          <w:sz w:val="24"/>
          <w:szCs w:val="24"/>
        </w:rPr>
        <w:t>Space Power Theory</w:t>
      </w:r>
      <w:r w:rsidRPr="00157C03">
        <w:rPr>
          <w:rFonts w:cs="Times New Roman"/>
          <w:sz w:val="24"/>
          <w:szCs w:val="24"/>
        </w:rPr>
        <w:t xml:space="preserve"> (Colorado Springs, CO: US Space Command, 2000), 117.</w:t>
      </w:r>
    </w:p>
  </w:endnote>
  <w:endnote w:id="53">
    <w:p w14:paraId="0AC71FA4" w14:textId="5DBABE28" w:rsidR="005F496A" w:rsidRPr="00157C03" w:rsidRDefault="005F496A">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Routledge, 2024), 200</w:t>
      </w:r>
      <w:r w:rsidR="006979B1" w:rsidRPr="00157C03">
        <w:rPr>
          <w:rFonts w:cs="Times New Roman"/>
          <w:sz w:val="24"/>
          <w:szCs w:val="24"/>
        </w:rPr>
        <w:t>-</w:t>
      </w:r>
      <w:r w:rsidRPr="00157C03">
        <w:rPr>
          <w:rFonts w:cs="Times New Roman"/>
          <w:sz w:val="24"/>
          <w:szCs w:val="24"/>
        </w:rPr>
        <w:t>201</w:t>
      </w:r>
      <w:r w:rsidR="006979B1" w:rsidRPr="00157C03">
        <w:rPr>
          <w:rFonts w:cs="Times New Roman"/>
          <w:sz w:val="24"/>
          <w:szCs w:val="24"/>
        </w:rPr>
        <w:t>.</w:t>
      </w:r>
    </w:p>
  </w:endnote>
  <w:endnote w:id="54">
    <w:p w14:paraId="170D85BD" w14:textId="2331AAE7" w:rsidR="005F496A" w:rsidRPr="00157C03" w:rsidRDefault="005F496A">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Routledge, 2024), 158; John J. Klein, “Space strategy for emerging powers,” in </w:t>
      </w:r>
      <w:r w:rsidRPr="00157C03">
        <w:rPr>
          <w:rFonts w:cs="Times New Roman"/>
          <w:i/>
          <w:iCs/>
          <w:sz w:val="24"/>
          <w:szCs w:val="24"/>
        </w:rPr>
        <w:t>Space Warfare: Strategy, Principles and Policy</w:t>
      </w:r>
      <w:r w:rsidRPr="00157C03">
        <w:rPr>
          <w:rFonts w:cs="Times New Roman"/>
          <w:sz w:val="24"/>
          <w:szCs w:val="24"/>
        </w:rPr>
        <w:t xml:space="preserve"> (Abingdon: Routledge, 2006), 160–161</w:t>
      </w:r>
    </w:p>
  </w:endnote>
  <w:endnote w:id="55">
    <w:p w14:paraId="1D7B72CA" w14:textId="691B6269" w:rsidR="005F496A" w:rsidRPr="00157C03" w:rsidRDefault="005F496A">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Pr="00157C03">
        <w:rPr>
          <w:rFonts w:cs="Times New Roman"/>
          <w:i/>
          <w:iCs/>
          <w:sz w:val="24"/>
          <w:szCs w:val="24"/>
        </w:rPr>
        <w:t>Defence Space Agenda NLD</w:t>
      </w:r>
      <w:r w:rsidRPr="00157C03">
        <w:rPr>
          <w:rFonts w:cs="Times New Roman"/>
          <w:sz w:val="24"/>
          <w:szCs w:val="24"/>
        </w:rPr>
        <w:t xml:space="preserve"> (2022), 27</w:t>
      </w:r>
    </w:p>
  </w:endnote>
  <w:endnote w:id="56">
    <w:p w14:paraId="2CF7E03B" w14:textId="09C4BB56" w:rsidR="005F496A" w:rsidRPr="00157C03" w:rsidRDefault="005F496A">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Joan Johnson-Freese, </w:t>
      </w:r>
      <w:r w:rsidRPr="00157C03">
        <w:rPr>
          <w:rFonts w:cs="Times New Roman"/>
          <w:i/>
          <w:iCs/>
          <w:sz w:val="24"/>
          <w:szCs w:val="24"/>
        </w:rPr>
        <w:t>Space as a Strategic Asset</w:t>
      </w:r>
      <w:r w:rsidRPr="00157C03">
        <w:rPr>
          <w:rFonts w:cs="Times New Roman"/>
          <w:sz w:val="24"/>
          <w:szCs w:val="24"/>
        </w:rPr>
        <w:t xml:space="preserve"> (New York: Columbia University Press, 2007), 39</w:t>
      </w:r>
    </w:p>
  </w:endnote>
  <w:endnote w:id="57">
    <w:p w14:paraId="0D3CBB9F" w14:textId="77777777" w:rsidR="00D27214" w:rsidRPr="00157C03" w:rsidRDefault="00D27214" w:rsidP="00D27214">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 The Art of War in Space</w:t>
      </w:r>
      <w:r w:rsidRPr="00157C03">
        <w:rPr>
          <w:rFonts w:cs="Times New Roman"/>
          <w:sz w:val="24"/>
          <w:szCs w:val="24"/>
        </w:rPr>
        <w:t xml:space="preserve"> (Abingdon: Routledge, 2024), 125.</w:t>
      </w:r>
    </w:p>
  </w:endnote>
  <w:endnote w:id="58">
    <w:p w14:paraId="14F0A527" w14:textId="3B2BFA40" w:rsidR="00D27214" w:rsidRPr="00157C03" w:rsidRDefault="00D27214">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 C. Moltz, “Spacepower as an Instrument of Global and Regional Influence,” 332.</w:t>
      </w:r>
    </w:p>
  </w:endnote>
  <w:endnote w:id="59">
    <w:p w14:paraId="0A184B8D" w14:textId="7D261BD0" w:rsidR="00D27214" w:rsidRPr="00157C03" w:rsidRDefault="00D27214">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w:t>
      </w:r>
      <w:r w:rsidRPr="00157C03">
        <w:rPr>
          <w:rFonts w:cs="Times New Roman"/>
          <w:i/>
          <w:iCs/>
          <w:sz w:val="24"/>
          <w:szCs w:val="24"/>
        </w:rPr>
        <w:t>efence Space Agenda NLD</w:t>
      </w:r>
      <w:r w:rsidRPr="00157C03">
        <w:rPr>
          <w:rFonts w:cs="Times New Roman"/>
          <w:sz w:val="24"/>
          <w:szCs w:val="24"/>
        </w:rPr>
        <w:t xml:space="preserve"> (2022), 17, 19, 23</w:t>
      </w:r>
    </w:p>
  </w:endnote>
  <w:endnote w:id="60">
    <w:p w14:paraId="71E25E9D" w14:textId="77777777" w:rsidR="0064484F" w:rsidRPr="00157C03" w:rsidRDefault="0064484F" w:rsidP="0064484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Joseph Fuller, Jr., Jeffrey Foust, Chad Frappier, Dustin Kaiser, and David Vaccaro, "Chapter 6: The Commercial Space Industry: A Critical Spacepower Consideration," in </w:t>
      </w:r>
      <w:r w:rsidRPr="00157C03">
        <w:rPr>
          <w:rFonts w:cs="Times New Roman"/>
          <w:i/>
          <w:iCs/>
          <w:sz w:val="24"/>
          <w:szCs w:val="24"/>
        </w:rPr>
        <w:t>Toward a Theory of Spacepower</w:t>
      </w:r>
      <w:r w:rsidRPr="00157C03">
        <w:rPr>
          <w:rFonts w:cs="Times New Roman"/>
          <w:sz w:val="24"/>
          <w:szCs w:val="24"/>
        </w:rPr>
        <w:t xml:space="preserve">, 15; Martin Sweeting, "Chapter 29: Affordable and Responsive Space Systems," in </w:t>
      </w:r>
      <w:r w:rsidRPr="00157C03">
        <w:rPr>
          <w:rFonts w:cs="Times New Roman"/>
          <w:i/>
          <w:iCs/>
          <w:sz w:val="24"/>
          <w:szCs w:val="24"/>
        </w:rPr>
        <w:t>Toward a Theory of Spacepower</w:t>
      </w:r>
      <w:r w:rsidRPr="00157C03">
        <w:rPr>
          <w:rFonts w:cs="Times New Roman"/>
          <w:sz w:val="24"/>
          <w:szCs w:val="24"/>
        </w:rPr>
        <w:t>, 20.</w:t>
      </w:r>
    </w:p>
  </w:endnote>
  <w:endnote w:id="61">
    <w:p w14:paraId="448A603D" w14:textId="47CE94D2" w:rsidR="0064484F" w:rsidRPr="00157C03" w:rsidRDefault="0064484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Martin Sweeting, "Chapter 29: Affordable and Responsive Space Systems," in </w:t>
      </w:r>
      <w:r w:rsidRPr="00157C03">
        <w:rPr>
          <w:rFonts w:cs="Times New Roman"/>
          <w:i/>
          <w:iCs/>
          <w:sz w:val="24"/>
          <w:szCs w:val="24"/>
        </w:rPr>
        <w:t>Toward a Theory of Spacepower</w:t>
      </w:r>
      <w:r w:rsidRPr="00157C03">
        <w:rPr>
          <w:rFonts w:cs="Times New Roman"/>
          <w:sz w:val="24"/>
          <w:szCs w:val="24"/>
        </w:rPr>
        <w:t>.</w:t>
      </w:r>
    </w:p>
  </w:endnote>
  <w:endnote w:id="62">
    <w:p w14:paraId="3264E435" w14:textId="3BE0ECF5" w:rsidR="0064484F" w:rsidRPr="00157C03" w:rsidRDefault="0064484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7453F6" w:rsidRPr="00157C03">
        <w:rPr>
          <w:rFonts w:cs="Times New Roman"/>
          <w:sz w:val="24"/>
          <w:szCs w:val="24"/>
        </w:rPr>
        <w:t xml:space="preserve">Simon P Warden, "Chapter 30: Future Strategy and Professional Development: A Roadmap," in </w:t>
      </w:r>
      <w:r w:rsidR="007453F6" w:rsidRPr="00157C03">
        <w:rPr>
          <w:rFonts w:cs="Times New Roman"/>
          <w:i/>
          <w:iCs/>
          <w:sz w:val="24"/>
          <w:szCs w:val="24"/>
        </w:rPr>
        <w:t>Toward a Theory of Spacepower</w:t>
      </w:r>
      <w:r w:rsidR="007453F6" w:rsidRPr="00157C03">
        <w:rPr>
          <w:rFonts w:cs="Times New Roman"/>
          <w:sz w:val="24"/>
          <w:szCs w:val="24"/>
        </w:rPr>
        <w:t>.</w:t>
      </w:r>
    </w:p>
  </w:endnote>
  <w:endnote w:id="63">
    <w:p w14:paraId="192B0987" w14:textId="209631A0" w:rsidR="007453F6" w:rsidRPr="00157C03" w:rsidRDefault="007453F6">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Ministry of Defence (Netherlands), </w:t>
      </w:r>
      <w:r w:rsidRPr="00157C03">
        <w:rPr>
          <w:rFonts w:cs="Times New Roman"/>
          <w:i/>
          <w:iCs/>
          <w:sz w:val="24"/>
          <w:szCs w:val="24"/>
        </w:rPr>
        <w:t>Defence Space Agenda</w:t>
      </w:r>
      <w:r w:rsidRPr="00157C03">
        <w:rPr>
          <w:rFonts w:cs="Times New Roman"/>
          <w:sz w:val="24"/>
          <w:szCs w:val="24"/>
        </w:rPr>
        <w:t>, 151–52, 159, 178, 203.</w:t>
      </w:r>
    </w:p>
  </w:endnote>
  <w:endnote w:id="64">
    <w:p w14:paraId="4D640F2E" w14:textId="422B95A1" w:rsidR="00553F3E" w:rsidRPr="00157C03" w:rsidRDefault="00553F3E">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w:t>
      </w:r>
      <w:r w:rsidR="00B44BD3" w:rsidRPr="00157C03">
        <w:rPr>
          <w:rFonts w:cs="Times New Roman"/>
          <w:sz w:val="24"/>
          <w:szCs w:val="24"/>
        </w:rPr>
        <w:t>Netherlands Ministry of Defence, Defence Space Agenda (Netherlands Ministry of Defence), 13.</w:t>
      </w:r>
    </w:p>
  </w:endnote>
  <w:endnote w:id="65">
    <w:p w14:paraId="5A50D997" w14:textId="7B0B0656" w:rsidR="000B74D7" w:rsidRPr="00157C03" w:rsidRDefault="000B74D7">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 A. Stone, </w:t>
      </w:r>
      <w:r w:rsidRPr="00157C03">
        <w:rPr>
          <w:rFonts w:cs="Times New Roman"/>
          <w:i/>
          <w:iCs/>
          <w:sz w:val="24"/>
          <w:szCs w:val="24"/>
        </w:rPr>
        <w:t>Reversing the Tao: A Framework for Credible Space Deterrence,</w:t>
      </w:r>
      <w:r w:rsidRPr="00157C03">
        <w:rPr>
          <w:rFonts w:cs="Times New Roman"/>
          <w:sz w:val="24"/>
          <w:szCs w:val="24"/>
        </w:rPr>
        <w:t xml:space="preserve"> 8.</w:t>
      </w:r>
    </w:p>
  </w:endnote>
  <w:endnote w:id="66">
    <w:p w14:paraId="5A73B05F" w14:textId="1C157135" w:rsidR="00553F3E" w:rsidRPr="00157C03" w:rsidRDefault="00553F3E">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(New York: Routledge, 2006), 137; E. A. Stone, </w:t>
      </w:r>
      <w:r w:rsidRPr="00157C03">
        <w:rPr>
          <w:rFonts w:cs="Times New Roman"/>
          <w:i/>
          <w:iCs/>
          <w:sz w:val="24"/>
          <w:szCs w:val="24"/>
        </w:rPr>
        <w:t>Reversing the Tao: A Framework for Credible Space Deterrence</w:t>
      </w:r>
      <w:r w:rsidRPr="00157C03">
        <w:rPr>
          <w:rFonts w:cs="Times New Roman"/>
          <w:sz w:val="24"/>
          <w:szCs w:val="24"/>
        </w:rPr>
        <w:t>, 8.</w:t>
      </w:r>
    </w:p>
  </w:endnote>
  <w:endnote w:id="67">
    <w:p w14:paraId="3417B2F6" w14:textId="498AB518"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w:t>
      </w:r>
      <w:r w:rsidRPr="00157C03">
        <w:rPr>
          <w:rFonts w:cs="Times New Roman"/>
          <w:sz w:val="24"/>
          <w:szCs w:val="24"/>
        </w:rPr>
        <w:t xml:space="preserve">, </w:t>
      </w:r>
      <w:r w:rsidR="003A470F" w:rsidRPr="00157C03">
        <w:rPr>
          <w:rFonts w:cs="Times New Roman"/>
          <w:sz w:val="24"/>
          <w:szCs w:val="24"/>
        </w:rPr>
        <w:t xml:space="preserve">3, </w:t>
      </w:r>
      <w:r w:rsidRPr="00157C03">
        <w:rPr>
          <w:rFonts w:cs="Times New Roman"/>
          <w:sz w:val="24"/>
          <w:szCs w:val="24"/>
        </w:rPr>
        <w:t>22</w:t>
      </w:r>
      <w:r w:rsidR="003A470F" w:rsidRPr="00157C03">
        <w:rPr>
          <w:rFonts w:cs="Times New Roman"/>
          <w:sz w:val="24"/>
          <w:szCs w:val="24"/>
        </w:rPr>
        <w:t xml:space="preserve">. </w:t>
      </w:r>
    </w:p>
  </w:endnote>
  <w:endnote w:id="68">
    <w:p w14:paraId="7D642565" w14:textId="3D28B631" w:rsidR="00080016" w:rsidRPr="00157C03" w:rsidRDefault="00080016">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Defence Forces, IRLJP-01 Military Doctrine for the Irish Defence Forces (Dublin: Defence Forces Printing Press, 2024), sec. 1.22.</w:t>
      </w:r>
    </w:p>
  </w:endnote>
  <w:endnote w:id="69">
    <w:p w14:paraId="7DE0EC66" w14:textId="611443A3" w:rsidR="00BE1236" w:rsidRPr="00157C03" w:rsidRDefault="00BE1236">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Department of Defence and Defence Forces, Defence Policy Review 2024: Adjusting and affirming our Defence policy in an era of change (Newbridge: Department of Defence, 2024), sec. 2.3.2 - 2.3.4.</w:t>
      </w:r>
    </w:p>
  </w:endnote>
  <w:endnote w:id="70">
    <w:p w14:paraId="24BFE350" w14:textId="05CFE3DA" w:rsidR="00B44BD3" w:rsidRPr="00157C03" w:rsidRDefault="00B44BD3">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w:t>
      </w:r>
      <w:r w:rsidR="00080016" w:rsidRPr="00157C03">
        <w:rPr>
          <w:rFonts w:cs="Times New Roman"/>
          <w:sz w:val="24"/>
          <w:szCs w:val="24"/>
        </w:rPr>
        <w:t>Irish Defence Forces, IRLJP-01 Military Doctrine for the Irish Defence Forces, sec. 1.22; Department of Defence and Defence Forces, Defence Policy Review 2024, sec. 2.3.4.</w:t>
      </w:r>
    </w:p>
  </w:endnote>
  <w:endnote w:id="71">
    <w:p w14:paraId="0FF0B8D4" w14:textId="3C4D3FEC" w:rsidR="00447FF4" w:rsidRPr="00157C03" w:rsidRDefault="00447FF4">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Donald Trump, </w:t>
      </w:r>
      <w:r w:rsidRPr="00157C03">
        <w:rPr>
          <w:rFonts w:cs="Times New Roman"/>
          <w:i/>
          <w:iCs/>
          <w:sz w:val="24"/>
          <w:szCs w:val="24"/>
        </w:rPr>
        <w:t>National Security Strategy of the United States of America</w:t>
      </w:r>
      <w:r w:rsidRPr="00157C03">
        <w:rPr>
          <w:rFonts w:cs="Times New Roman"/>
          <w:sz w:val="24"/>
          <w:szCs w:val="24"/>
        </w:rPr>
        <w:t xml:space="preserve"> (Washington, DC: The White House, November 2025), 25.</w:t>
      </w:r>
    </w:p>
  </w:endnote>
  <w:endnote w:id="72">
    <w:p w14:paraId="4DEA0CA6" w14:textId="1EE53E88" w:rsidR="00447FF4" w:rsidRPr="00157C03" w:rsidRDefault="00447FF4">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John Ikenberry, </w:t>
      </w:r>
      <w:r w:rsidRPr="00157C03">
        <w:rPr>
          <w:rFonts w:cs="Times New Roman"/>
          <w:i/>
          <w:iCs/>
          <w:sz w:val="24"/>
          <w:szCs w:val="24"/>
        </w:rPr>
        <w:t>A World Safe for Democracy: Liberal Internationalism and the Crises of Global Order</w:t>
      </w:r>
      <w:r w:rsidRPr="00157C03">
        <w:rPr>
          <w:rFonts w:cs="Times New Roman"/>
          <w:sz w:val="24"/>
          <w:szCs w:val="24"/>
        </w:rPr>
        <w:t xml:space="preserve"> (New Haven, CT: Yale University Press, 2020), 12.</w:t>
      </w:r>
    </w:p>
  </w:endnote>
  <w:endnote w:id="73">
    <w:p w14:paraId="78D2B024" w14:textId="77BA3D8B" w:rsidR="00447FF4" w:rsidRPr="00157C03" w:rsidRDefault="00447FF4">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Mitchell A. Orenstein, </w:t>
      </w:r>
      <w:r w:rsidRPr="00157C03">
        <w:rPr>
          <w:rFonts w:cs="Times New Roman"/>
          <w:i/>
          <w:iCs/>
          <w:sz w:val="24"/>
          <w:szCs w:val="24"/>
        </w:rPr>
        <w:t>The Lands In Between: Russia vs. the West and the New Politics of Hybrid War</w:t>
      </w:r>
      <w:r w:rsidRPr="00157C03">
        <w:rPr>
          <w:rFonts w:cs="Times New Roman"/>
          <w:sz w:val="24"/>
          <w:szCs w:val="24"/>
        </w:rPr>
        <w:t xml:space="preserve"> (New York: Oxford University Press, 2019), 17–18, 23-26.</w:t>
      </w:r>
    </w:p>
  </w:endnote>
  <w:endnote w:id="74">
    <w:p w14:paraId="5D300728" w14:textId="26760938" w:rsidR="00447FF4" w:rsidRPr="00157C03" w:rsidRDefault="00447FF4">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George Allison, “Ireland’s Undersea Cables Are at Risk,” </w:t>
      </w:r>
      <w:r w:rsidRPr="00157C03">
        <w:rPr>
          <w:rFonts w:cs="Times New Roman"/>
          <w:i/>
          <w:iCs/>
          <w:sz w:val="24"/>
          <w:szCs w:val="24"/>
        </w:rPr>
        <w:t>UK Defense Journal</w:t>
      </w:r>
      <w:r w:rsidRPr="00157C03">
        <w:rPr>
          <w:rFonts w:cs="Times New Roman"/>
          <w:sz w:val="24"/>
          <w:szCs w:val="24"/>
        </w:rPr>
        <w:t xml:space="preserve">, February 9, 2025, </w:t>
      </w:r>
      <w:hyperlink r:id="rId2" w:tgtFrame="_new" w:history="1">
        <w:r w:rsidRPr="00157C03">
          <w:rPr>
            <w:rStyle w:val="Hyperlink"/>
            <w:rFonts w:cs="Times New Roman"/>
            <w:sz w:val="24"/>
            <w:szCs w:val="24"/>
          </w:rPr>
          <w:t>https://ukdefensejournal.org.uk/irelands-undersea-cables-are-at-risk/</w:t>
        </w:r>
      </w:hyperlink>
    </w:p>
  </w:endnote>
  <w:endnote w:id="75">
    <w:p w14:paraId="0C395FB6"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w:t>
      </w:r>
      <w:r w:rsidRPr="00157C03">
        <w:rPr>
          <w:rFonts w:cs="Times New Roman"/>
          <w:sz w:val="24"/>
          <w:szCs w:val="24"/>
        </w:rPr>
        <w:t>, 16; Houses of the Oireachtas, Joint Committee on Foreign Affairs and Defence, Report on Critical Undersea Infrastructure (Dublin: Houses of the Oireachtas, 2023), 4.</w:t>
      </w:r>
    </w:p>
  </w:endnote>
  <w:endnote w:id="76">
    <w:p w14:paraId="3DB0BAAD" w14:textId="245D04DF"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w:t>
      </w:r>
      <w:r w:rsidRPr="00157C03">
        <w:rPr>
          <w:rFonts w:cs="Times New Roman"/>
          <w:sz w:val="24"/>
          <w:szCs w:val="24"/>
        </w:rPr>
        <w:t>, 18</w:t>
      </w:r>
      <w:r w:rsidR="003A470F" w:rsidRPr="00157C03">
        <w:rPr>
          <w:rFonts w:cs="Times New Roman"/>
          <w:sz w:val="24"/>
          <w:szCs w:val="24"/>
        </w:rPr>
        <w:t>; European Union Satellite Centre (SatCen), Annual Report 2023 (Torrejón de Ardoz: SatCen, 2023), 12; European Commission, Space and Defence: Supporting Maritime Security, SWD(2023) 80 final (Brussels, 2023), 7.</w:t>
      </w:r>
    </w:p>
  </w:endnote>
  <w:endnote w:id="77">
    <w:p w14:paraId="68AA9E32" w14:textId="77777777" w:rsidR="00A24DD9" w:rsidRPr="00157C03" w:rsidRDefault="00A24DD9" w:rsidP="00A24DD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European Commission, Copernicus: Europe’s Eyes on Earth (Brussels: European Commission, 2023), 4.</w:t>
      </w:r>
    </w:p>
  </w:endnote>
  <w:endnote w:id="78">
    <w:p w14:paraId="2FDF8094" w14:textId="77777777" w:rsidR="00A24DD9" w:rsidRPr="00157C03" w:rsidRDefault="00A24DD9" w:rsidP="00A24DD9">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European Defence Agency, MARSUR: Maritime Surveillance Networking (Brussels: EDA, 2022), 2.</w:t>
      </w:r>
    </w:p>
  </w:endnote>
  <w:endnote w:id="79">
    <w:p w14:paraId="62809984"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Maritime Analysis and Operations Centre – Narcotics (MAOC-N), Annual Report 2022 (Lisbon: MAOC-N, 2022), 3.</w:t>
      </w:r>
    </w:p>
  </w:endnote>
  <w:endnote w:id="80">
    <w:p w14:paraId="65D82A96" w14:textId="548022C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(Dublin: Stationery Office, 2022), 44</w:t>
      </w:r>
      <w:r w:rsidR="003A470F" w:rsidRPr="00157C03">
        <w:rPr>
          <w:rFonts w:cs="Times New Roman"/>
          <w:sz w:val="24"/>
          <w:szCs w:val="24"/>
        </w:rPr>
        <w:t>-46</w:t>
      </w:r>
      <w:r w:rsidRPr="00157C03">
        <w:rPr>
          <w:rFonts w:cs="Times New Roman"/>
          <w:sz w:val="24"/>
          <w:szCs w:val="24"/>
        </w:rPr>
        <w:t>.</w:t>
      </w:r>
    </w:p>
  </w:endnote>
  <w:endnote w:id="81">
    <w:p w14:paraId="2E7A5F8F" w14:textId="033C928E" w:rsidR="00447FF4" w:rsidRPr="00157C03" w:rsidRDefault="00447FF4">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Niall O’Connor, “</w:t>
      </w:r>
      <w:r w:rsidRPr="00157C03">
        <w:rPr>
          <w:rFonts w:cs="Times New Roman"/>
          <w:i/>
          <w:iCs/>
          <w:sz w:val="24"/>
          <w:szCs w:val="24"/>
        </w:rPr>
        <w:t>Air Ambulance Mission ‘Stood Down’ After Air Corps Forced to Ground Its Fleet of PC-12 Aircraft</w:t>
      </w:r>
      <w:r w:rsidRPr="00157C03">
        <w:rPr>
          <w:rFonts w:cs="Times New Roman"/>
          <w:sz w:val="24"/>
          <w:szCs w:val="24"/>
        </w:rPr>
        <w:t xml:space="preserve">,” </w:t>
      </w:r>
      <w:r w:rsidRPr="00157C03">
        <w:rPr>
          <w:rFonts w:cs="Times New Roman"/>
          <w:i/>
          <w:iCs/>
          <w:sz w:val="24"/>
          <w:szCs w:val="24"/>
        </w:rPr>
        <w:t>TheJournal.ie</w:t>
      </w:r>
      <w:r w:rsidRPr="00157C03">
        <w:rPr>
          <w:rFonts w:cs="Times New Roman"/>
          <w:sz w:val="24"/>
          <w:szCs w:val="24"/>
        </w:rPr>
        <w:t xml:space="preserve">, November 23, 2025, </w:t>
      </w:r>
      <w:hyperlink r:id="rId3" w:tgtFrame="_new" w:history="1">
        <w:r w:rsidRPr="00157C03">
          <w:rPr>
            <w:rStyle w:val="Hyperlink"/>
            <w:rFonts w:cs="Times New Roman"/>
            <w:sz w:val="24"/>
            <w:szCs w:val="24"/>
          </w:rPr>
          <w:t>https://www.thejournal.ie/irish-air-corps-pc12-pc-12-grounded-air-ambulance-mission-cancelled-6882021-Nov2025/</w:t>
        </w:r>
      </w:hyperlink>
    </w:p>
  </w:endnote>
  <w:endnote w:id="82">
    <w:p w14:paraId="30E6A4F2"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(Dublin: Stationery Office, 2022), 46.</w:t>
      </w:r>
    </w:p>
  </w:endnote>
  <w:endnote w:id="83">
    <w:p w14:paraId="1B529356"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w:t>
      </w:r>
      <w:r w:rsidRPr="00157C03">
        <w:rPr>
          <w:rFonts w:cs="Times New Roman"/>
          <w:sz w:val="24"/>
          <w:szCs w:val="24"/>
        </w:rPr>
        <w:t>, 28.</w:t>
      </w:r>
    </w:p>
  </w:endnote>
  <w:endnote w:id="84">
    <w:p w14:paraId="1F642813" w14:textId="34F828C2" w:rsidR="00BE1236" w:rsidRPr="00157C03" w:rsidRDefault="00BE1236">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w:t>
      </w:r>
      <w:r w:rsidRPr="00157C03">
        <w:rPr>
          <w:rFonts w:cs="Times New Roman"/>
          <w:sz w:val="24"/>
          <w:szCs w:val="24"/>
        </w:rPr>
        <w:t>: The Art of War in Space (Abingdon: Routledge, 2019), 21.</w:t>
      </w:r>
    </w:p>
  </w:endnote>
  <w:endnote w:id="85">
    <w:p w14:paraId="0FB0D138" w14:textId="453AB8FC" w:rsidR="002867B3" w:rsidRPr="00157C03" w:rsidRDefault="002867B3">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ICEYE, "Finland Ministry of Defense Selects ICEYE for Space-Based Intelligence and Surveillance Capabilities," press release, June 27, 2025</w:t>
      </w:r>
    </w:p>
  </w:endnote>
  <w:endnote w:id="86">
    <w:p w14:paraId="56A0B40A" w14:textId="09B3B558" w:rsidR="00BE1236" w:rsidRPr="00157C03" w:rsidRDefault="00BE1236" w:rsidP="00A03F78">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A03F78" w:rsidRPr="00157C03">
        <w:rPr>
          <w:rFonts w:cs="Times New Roman"/>
          <w:sz w:val="24"/>
          <w:szCs w:val="24"/>
        </w:rPr>
        <w:t>Department of Defence and Defence Forces, Defence Policy Review 2024: Adjusting and affirming our Defence policy in an era of change (Newbridge: Department of Defence, 2024), Executive Summary.</w:t>
      </w:r>
    </w:p>
  </w:endnote>
  <w:endnote w:id="87">
    <w:p w14:paraId="3D886E85" w14:textId="5ABFBD0E" w:rsidR="00D67315" w:rsidRPr="00157C03" w:rsidRDefault="00D67315">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Netherlands Ministry of Defence, </w:t>
      </w:r>
      <w:r w:rsidRPr="00157C03">
        <w:rPr>
          <w:rFonts w:cs="Times New Roman"/>
          <w:i/>
          <w:iCs/>
          <w:sz w:val="24"/>
          <w:szCs w:val="24"/>
        </w:rPr>
        <w:t>Defence Space Agenda NLD</w:t>
      </w:r>
      <w:r w:rsidRPr="00157C03">
        <w:rPr>
          <w:rFonts w:cs="Times New Roman"/>
          <w:sz w:val="24"/>
          <w:szCs w:val="24"/>
        </w:rPr>
        <w:t xml:space="preserve"> (The Hague: Ministry of Defence, 2022), 19-23.</w:t>
      </w:r>
    </w:p>
  </w:endnote>
  <w:endnote w:id="88">
    <w:p w14:paraId="4CB54A0C" w14:textId="7D96536F"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Netherlands Ministry of Defence, </w:t>
      </w:r>
      <w:r w:rsidRPr="00157C03">
        <w:rPr>
          <w:rFonts w:cs="Times New Roman"/>
          <w:i/>
          <w:iCs/>
          <w:sz w:val="24"/>
          <w:szCs w:val="24"/>
        </w:rPr>
        <w:t>Defence Space Agenda NLD</w:t>
      </w:r>
      <w:r w:rsidRPr="00157C03">
        <w:rPr>
          <w:rFonts w:cs="Times New Roman"/>
          <w:sz w:val="24"/>
          <w:szCs w:val="24"/>
        </w:rPr>
        <w:t xml:space="preserve"> (The Hague: Ministry of Defence, 2022), </w:t>
      </w:r>
      <w:r w:rsidR="003A470F" w:rsidRPr="00157C03">
        <w:rPr>
          <w:rFonts w:cs="Times New Roman"/>
          <w:sz w:val="24"/>
          <w:szCs w:val="24"/>
        </w:rPr>
        <w:t>19-</w:t>
      </w:r>
      <w:r w:rsidRPr="00157C03">
        <w:rPr>
          <w:rFonts w:cs="Times New Roman"/>
          <w:sz w:val="24"/>
          <w:szCs w:val="24"/>
        </w:rPr>
        <w:t>23.</w:t>
      </w:r>
    </w:p>
  </w:endnote>
  <w:endnote w:id="89">
    <w:p w14:paraId="1E3D0077" w14:textId="2004B7C4" w:rsidR="00F8026E" w:rsidRPr="00157C03" w:rsidRDefault="00F8026E">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w:t>
      </w:r>
      <w:r w:rsidRPr="00157C03">
        <w:rPr>
          <w:rFonts w:cs="Times New Roman"/>
          <w:sz w:val="24"/>
          <w:szCs w:val="24"/>
          <w:lang w:val="en-US"/>
        </w:rPr>
        <w:t xml:space="preserve">Irish Air Corps, </w:t>
      </w:r>
      <w:r w:rsidRPr="00157C03">
        <w:rPr>
          <w:rFonts w:cs="Times New Roman"/>
          <w:i/>
          <w:iCs/>
          <w:sz w:val="24"/>
          <w:szCs w:val="24"/>
          <w:lang w:val="en-US"/>
        </w:rPr>
        <w:t>Force Generation for Future Air Force Board Report</w:t>
      </w:r>
      <w:r w:rsidRPr="00157C03">
        <w:rPr>
          <w:rFonts w:cs="Times New Roman"/>
          <w:sz w:val="24"/>
          <w:szCs w:val="24"/>
          <w:lang w:val="en-US"/>
        </w:rPr>
        <w:t xml:space="preserve"> (June 2024); European Defence Agency, </w:t>
      </w:r>
      <w:r w:rsidRPr="00157C03">
        <w:rPr>
          <w:rFonts w:cs="Times New Roman"/>
          <w:i/>
          <w:iCs/>
          <w:sz w:val="24"/>
          <w:szCs w:val="24"/>
          <w:lang w:val="en-US"/>
        </w:rPr>
        <w:t>Overview of Space Developments</w:t>
      </w:r>
      <w:r w:rsidRPr="00157C03">
        <w:rPr>
          <w:rFonts w:cs="Times New Roman"/>
          <w:sz w:val="24"/>
          <w:szCs w:val="24"/>
          <w:lang w:val="en-US"/>
        </w:rPr>
        <w:t xml:space="preserve"> (February 2024).</w:t>
      </w:r>
    </w:p>
  </w:endnote>
  <w:endnote w:id="90">
    <w:p w14:paraId="2464CCF8" w14:textId="7A5AD593" w:rsidR="00F8026E" w:rsidRPr="00157C03" w:rsidRDefault="00F8026E">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Air Corps, </w:t>
      </w:r>
      <w:r w:rsidRPr="00157C03">
        <w:rPr>
          <w:rFonts w:cs="Times New Roman"/>
          <w:i/>
          <w:iCs/>
          <w:sz w:val="24"/>
          <w:szCs w:val="24"/>
        </w:rPr>
        <w:t>Force Generation for Future Air Force Board Report</w:t>
      </w:r>
    </w:p>
  </w:endnote>
  <w:endnote w:id="91">
    <w:p w14:paraId="61E68473"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Luxembourg Space Agency, </w:t>
      </w:r>
      <w:r w:rsidRPr="00157C03">
        <w:rPr>
          <w:rFonts w:cs="Times New Roman"/>
          <w:i/>
          <w:iCs/>
          <w:sz w:val="24"/>
          <w:szCs w:val="24"/>
        </w:rPr>
        <w:t>Luxembourg Space Strategy</w:t>
      </w:r>
      <w:r w:rsidRPr="00157C03">
        <w:rPr>
          <w:rFonts w:cs="Times New Roman"/>
          <w:sz w:val="24"/>
          <w:szCs w:val="24"/>
        </w:rPr>
        <w:t xml:space="preserve"> (Luxembourg: Luxembourg Space Agency, 2018), 5.</w:t>
      </w:r>
    </w:p>
  </w:endnote>
  <w:endnote w:id="92">
    <w:p w14:paraId="202775F0" w14:textId="2E9FA700" w:rsidR="000204F2" w:rsidRPr="00157C03" w:rsidRDefault="000204F2">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Namrata Goswami and Peter A. Garretson, Scramble for the Skies: The Great Power Competition to Control the Resources of Outer Space (Lanham: Lexington Books, 2020), 281–85.</w:t>
      </w:r>
    </w:p>
  </w:endnote>
  <w:endnote w:id="93">
    <w:p w14:paraId="79AF7561" w14:textId="746FF99D"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6979B1" w:rsidRPr="00157C03">
        <w:rPr>
          <w:rFonts w:cs="Times New Roman"/>
          <w:sz w:val="24"/>
          <w:szCs w:val="24"/>
        </w:rPr>
        <w:t xml:space="preserve">John J. Klein, </w:t>
      </w:r>
      <w:r w:rsidR="006979B1" w:rsidRPr="00157C03">
        <w:rPr>
          <w:rFonts w:cs="Times New Roman"/>
          <w:i/>
          <w:iCs/>
          <w:sz w:val="24"/>
          <w:szCs w:val="24"/>
        </w:rPr>
        <w:t>Understanding Space Strategy: The Art of War in Space</w:t>
      </w:r>
      <w:r w:rsidR="006979B1" w:rsidRPr="00157C03">
        <w:rPr>
          <w:rFonts w:cs="Times New Roman"/>
          <w:sz w:val="24"/>
          <w:szCs w:val="24"/>
        </w:rPr>
        <w:t xml:space="preserve"> (Abingdon: Routledge, 2024), 200–201</w:t>
      </w:r>
      <w:r w:rsidR="003A470F" w:rsidRPr="00157C03">
        <w:rPr>
          <w:rFonts w:cs="Times New Roman"/>
          <w:sz w:val="24"/>
          <w:szCs w:val="24"/>
        </w:rPr>
        <w:t>; Royal New Zealand Air Force, No. 62 Squadron: Space Domain Awareness, RNZAF Fact Sheet (Wellington: NZDF, 2023).</w:t>
      </w:r>
    </w:p>
  </w:endnote>
  <w:endnote w:id="94">
    <w:p w14:paraId="6ACBF508" w14:textId="0AE33E65"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T. S. Allen and A. J. Marra, “Ukraine Is Winning the Information War,” Atlantic Council, April 26, 2022; Isabelle Khurshudyan and Mary Ilyushina, “Elon Musk’s Satellite Internet Helped Ukraine. Then It Didn’t,” Washington Post, October 7, 2022</w:t>
      </w:r>
      <w:r w:rsidR="003A470F" w:rsidRPr="00157C03">
        <w:rPr>
          <w:rFonts w:cs="Times New Roman"/>
          <w:sz w:val="24"/>
          <w:szCs w:val="24"/>
        </w:rPr>
        <w:t xml:space="preserve">; European Union Agency for Cybersecurity (ENISA), </w:t>
      </w:r>
      <w:r w:rsidR="003A470F" w:rsidRPr="00157C03">
        <w:rPr>
          <w:rFonts w:cs="Times New Roman"/>
          <w:i/>
          <w:iCs/>
          <w:sz w:val="24"/>
          <w:szCs w:val="24"/>
        </w:rPr>
        <w:t>ENISA Threat Landscape 2022</w:t>
      </w:r>
      <w:r w:rsidR="003A470F" w:rsidRPr="00157C03">
        <w:rPr>
          <w:rFonts w:cs="Times New Roman"/>
          <w:sz w:val="24"/>
          <w:szCs w:val="24"/>
        </w:rPr>
        <w:t xml:space="preserve"> (Athens: ENISA, 2022), 63.</w:t>
      </w:r>
    </w:p>
  </w:endnote>
  <w:endnote w:id="95">
    <w:p w14:paraId="2D842EA4"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(Dublin: Stationery Office, 2022), 46.</w:t>
      </w:r>
    </w:p>
  </w:endnote>
  <w:endnote w:id="96">
    <w:p w14:paraId="54BAE7BC" w14:textId="79C0549D" w:rsidR="002A6D3D" w:rsidRPr="00157C03" w:rsidRDefault="002A6D3D">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Air Corps, Force Generation for Future Air Force Board Report (June 2024).</w:t>
      </w:r>
    </w:p>
  </w:endnote>
  <w:endnote w:id="97">
    <w:p w14:paraId="7941AA26" w14:textId="5C793FD7" w:rsidR="002A6D3D" w:rsidRPr="00157C03" w:rsidRDefault="002A6D3D">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Defence Forces, IRLJP-01 Military Doctrine for the Irish Defence Forces (Dublin: Defence Forces Printing Press, 2024).</w:t>
      </w:r>
    </w:p>
  </w:endnote>
  <w:endnote w:id="98">
    <w:p w14:paraId="43E8F652" w14:textId="050C6C53" w:rsidR="002A6D3D" w:rsidRPr="00157C03" w:rsidRDefault="002A6D3D">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Air Corps, </w:t>
      </w:r>
      <w:r w:rsidRPr="00157C03">
        <w:rPr>
          <w:rFonts w:cs="Times New Roman"/>
          <w:i/>
          <w:iCs/>
          <w:sz w:val="24"/>
          <w:szCs w:val="24"/>
        </w:rPr>
        <w:t>Force Generation for Future Air Force Board Report</w:t>
      </w:r>
      <w:r w:rsidRPr="00157C03">
        <w:rPr>
          <w:rFonts w:cs="Times New Roman"/>
          <w:sz w:val="24"/>
          <w:szCs w:val="24"/>
        </w:rPr>
        <w:t>, 54-55.</w:t>
      </w:r>
    </w:p>
  </w:endnote>
  <w:endnote w:id="99">
    <w:p w14:paraId="50EEE410" w14:textId="360DBB48" w:rsidR="00104355" w:rsidRPr="00157C03" w:rsidRDefault="00104355">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 Adjusting and affirming our Defence policy in an era of change</w:t>
      </w:r>
      <w:r w:rsidRPr="00157C03">
        <w:rPr>
          <w:rFonts w:cs="Times New Roman"/>
          <w:sz w:val="24"/>
          <w:szCs w:val="24"/>
        </w:rPr>
        <w:t xml:space="preserve"> (Newbridge: Department of Defence, 2024); Irish Defence Forces, </w:t>
      </w:r>
      <w:r w:rsidRPr="00157C03">
        <w:rPr>
          <w:rFonts w:cs="Times New Roman"/>
          <w:i/>
          <w:iCs/>
          <w:sz w:val="24"/>
          <w:szCs w:val="24"/>
        </w:rPr>
        <w:t>IRLJP-01 Military Doctrine for the Irish Defence Forces</w:t>
      </w:r>
      <w:r w:rsidRPr="00157C03">
        <w:rPr>
          <w:rFonts w:cs="Times New Roman"/>
          <w:sz w:val="24"/>
          <w:szCs w:val="24"/>
        </w:rPr>
        <w:t xml:space="preserve"> (Dublin: Defence Forces Printing Press, 2024).</w:t>
      </w:r>
    </w:p>
  </w:endnote>
  <w:endnote w:id="100">
    <w:p w14:paraId="1772003B" w14:textId="01954EF5" w:rsidR="005D7B67" w:rsidRPr="00157C03" w:rsidRDefault="005D7B67">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Royal New Zealand Air Force, No. 62 Squadron: Space Domain Awareness, RNZAF Fact Sheet (Wellington: NZDF, 2023).</w:t>
      </w:r>
    </w:p>
  </w:endnote>
  <w:endnote w:id="101">
    <w:p w14:paraId="62E34027" w14:textId="132AAA0C" w:rsidR="005D7B67" w:rsidRPr="00157C03" w:rsidRDefault="005D7B67">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(February 2022), 52, 60</w:t>
      </w:r>
    </w:p>
  </w:endnote>
  <w:endnote w:id="102">
    <w:p w14:paraId="501F5F1A" w14:textId="6BC3E4BC" w:rsidR="005D7B67" w:rsidRPr="00157C03" w:rsidRDefault="005D7B67">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Council of the European Union, </w:t>
      </w:r>
      <w:r w:rsidRPr="00157C03">
        <w:rPr>
          <w:rFonts w:cs="Times New Roman"/>
          <w:i/>
          <w:iCs/>
          <w:sz w:val="24"/>
          <w:szCs w:val="24"/>
        </w:rPr>
        <w:t>EU Space Strategy for Security and Defence</w:t>
      </w:r>
      <w:r w:rsidRPr="00157C03">
        <w:rPr>
          <w:rFonts w:cs="Times New Roman"/>
          <w:sz w:val="24"/>
          <w:szCs w:val="24"/>
        </w:rPr>
        <w:t xml:space="preserve"> (ST-7315-2023-INIT, 2023)</w:t>
      </w:r>
    </w:p>
  </w:endnote>
  <w:endnote w:id="103">
    <w:p w14:paraId="24F6634D" w14:textId="50BC8DF5" w:rsidR="003E3A6E" w:rsidRPr="00157C03" w:rsidRDefault="003E3A6E">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Michael E. O'Hanlon, </w:t>
      </w:r>
      <w:r w:rsidRPr="00157C03">
        <w:rPr>
          <w:rFonts w:cs="Times New Roman"/>
          <w:i/>
          <w:iCs/>
          <w:sz w:val="24"/>
          <w:szCs w:val="24"/>
        </w:rPr>
        <w:t>Neither Star Wars Nor Sanctuary: Space Arms Control and the Militarization of Space</w:t>
      </w:r>
      <w:r w:rsidRPr="00157C03">
        <w:rPr>
          <w:rFonts w:cs="Times New Roman"/>
          <w:sz w:val="24"/>
          <w:szCs w:val="24"/>
        </w:rPr>
        <w:t xml:space="preserve"> (Washington, D.C.: Brookings Institution Press, 2004), 38-39; Joan Johnson-Freese, </w:t>
      </w:r>
      <w:r w:rsidRPr="00157C03">
        <w:rPr>
          <w:rFonts w:cs="Times New Roman"/>
          <w:i/>
          <w:iCs/>
          <w:sz w:val="24"/>
          <w:szCs w:val="24"/>
        </w:rPr>
        <w:t>Space as a Strategic Asset</w:t>
      </w:r>
      <w:r w:rsidRPr="00157C03">
        <w:rPr>
          <w:rFonts w:cs="Times New Roman"/>
          <w:sz w:val="24"/>
          <w:szCs w:val="24"/>
        </w:rPr>
        <w:t xml:space="preserve"> (New York: Columbia University Press, 2007), 29-30; Netherlands Ministry of Defence, </w:t>
      </w:r>
      <w:r w:rsidRPr="00157C03">
        <w:rPr>
          <w:rFonts w:cs="Times New Roman"/>
          <w:i/>
          <w:iCs/>
          <w:sz w:val="24"/>
          <w:szCs w:val="24"/>
        </w:rPr>
        <w:t>Defence Space Agenda</w:t>
      </w:r>
      <w:r w:rsidRPr="00157C03">
        <w:rPr>
          <w:rFonts w:cs="Times New Roman"/>
          <w:sz w:val="24"/>
          <w:szCs w:val="24"/>
        </w:rPr>
        <w:t xml:space="preserve"> (November 2022).</w:t>
      </w:r>
    </w:p>
  </w:endnote>
  <w:endnote w:id="104">
    <w:p w14:paraId="42FE116F"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European Defence Agency, PESCO Project Sheets: EU-SSA-N (Brussels: EDA, 2023), 1.</w:t>
      </w:r>
    </w:p>
  </w:endnote>
  <w:endnote w:id="105">
    <w:p w14:paraId="23E59744" w14:textId="18C21415" w:rsidR="003E3A6E" w:rsidRPr="00157C03" w:rsidRDefault="003E3A6E">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Charles D. Lutes et al., eds., </w:t>
      </w:r>
      <w:r w:rsidRPr="00157C03">
        <w:rPr>
          <w:rFonts w:cs="Times New Roman"/>
          <w:i/>
          <w:iCs/>
          <w:sz w:val="24"/>
          <w:szCs w:val="24"/>
        </w:rPr>
        <w:t>Toward a Theory of Spacepower: Selected Essays</w:t>
      </w:r>
      <w:r w:rsidRPr="00157C03">
        <w:rPr>
          <w:rFonts w:cs="Times New Roman"/>
          <w:sz w:val="24"/>
          <w:szCs w:val="24"/>
        </w:rPr>
        <w:t xml:space="preserve"> (Washington, DC: National Defense University, 2011); Council of the European Union, </w:t>
      </w:r>
      <w:r w:rsidRPr="00157C03">
        <w:rPr>
          <w:rFonts w:cs="Times New Roman"/>
          <w:i/>
          <w:iCs/>
          <w:sz w:val="24"/>
          <w:szCs w:val="24"/>
        </w:rPr>
        <w:t>EU Space Strategy for Security and Defence</w:t>
      </w:r>
      <w:r w:rsidRPr="00157C03">
        <w:rPr>
          <w:rFonts w:cs="Times New Roman"/>
          <w:sz w:val="24"/>
          <w:szCs w:val="24"/>
        </w:rPr>
        <w:t xml:space="preserve"> (ST-7315-2023-INIT, 2023).</w:t>
      </w:r>
    </w:p>
  </w:endnote>
  <w:endnote w:id="106">
    <w:p w14:paraId="3D7967EE" w14:textId="2B90B296" w:rsidR="003B56ED" w:rsidRPr="00157C03" w:rsidRDefault="003B56ED">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2024); Jason Lau, "Medium Space Power Paper" (Air Command and Staff College, 2021); Department of Defence and Defence Forces, </w:t>
      </w:r>
      <w:r w:rsidRPr="00157C03">
        <w:rPr>
          <w:rFonts w:cs="Times New Roman"/>
          <w:i/>
          <w:iCs/>
          <w:sz w:val="24"/>
          <w:szCs w:val="24"/>
        </w:rPr>
        <w:t>Defence Policy Review 2024</w:t>
      </w:r>
      <w:r w:rsidRPr="00157C03">
        <w:rPr>
          <w:rFonts w:cs="Times New Roman"/>
          <w:sz w:val="24"/>
          <w:szCs w:val="24"/>
        </w:rPr>
        <w:t xml:space="preserve"> (Newbridge: Department of Defence, 2024).</w:t>
      </w:r>
    </w:p>
  </w:endnote>
  <w:endnote w:id="107">
    <w:p w14:paraId="030F0C56" w14:textId="29A6BC2D" w:rsidR="00B14B0C" w:rsidRPr="00157C03" w:rsidRDefault="00B14B0C">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Department of Defence and Defence Forces, Defence Policy Review 2024: Adjusting and affirming our Defence policy in an era of change (Newbridge: Department of Defence, 2024), 42; Department of Defence, White Paper on Defence (August 2015), 37.</w:t>
      </w:r>
    </w:p>
  </w:endnote>
  <w:endnote w:id="108">
    <w:p w14:paraId="3E5A9B83" w14:textId="4D1EB42E" w:rsidR="00B14B0C" w:rsidRPr="00157C03" w:rsidRDefault="00B14B0C">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European Defence Agency, Overview of space developments (February 2024), 34-35.</w:t>
      </w:r>
    </w:p>
  </w:endnote>
  <w:endnote w:id="109">
    <w:p w14:paraId="71B533F8" w14:textId="60B1728B" w:rsidR="002857AB" w:rsidRPr="00157C03" w:rsidRDefault="002857A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w:t>
      </w:r>
      <w:r w:rsidR="00D1738A" w:rsidRPr="00157C03">
        <w:rPr>
          <w:rFonts w:cs="Times New Roman"/>
          <w:sz w:val="24"/>
          <w:szCs w:val="24"/>
        </w:rPr>
        <w:t xml:space="preserve">Permanent Structured Cooperation (PESCO), "European Military Space Surveillance Awareness Network (EU-SSA-N)"; Permanent Structured Cooperation (PESCO), "EU Radio Navigation Solution (EURAS)"; European Defence Agency, </w:t>
      </w:r>
      <w:r w:rsidR="00D1738A" w:rsidRPr="00157C03">
        <w:rPr>
          <w:rFonts w:cs="Times New Roman"/>
          <w:i/>
          <w:iCs/>
          <w:sz w:val="24"/>
          <w:szCs w:val="24"/>
        </w:rPr>
        <w:t>DiS Forum 05 General Briefing.</w:t>
      </w:r>
    </w:p>
  </w:endnote>
  <w:endnote w:id="110">
    <w:p w14:paraId="31561521" w14:textId="1390EB0E"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NATO, Ireland’s Individually Tailored Partnership Programme (Brussels: NATO, 2024), 2</w:t>
      </w:r>
      <w:r w:rsidR="003A470F" w:rsidRPr="00157C03">
        <w:rPr>
          <w:rFonts w:cs="Times New Roman"/>
          <w:sz w:val="24"/>
          <w:szCs w:val="24"/>
        </w:rPr>
        <w:t>; European Defence Agency, PESCO Project Sheets: CoHGI (Brussels: EDA, 2023), 1.</w:t>
      </w:r>
    </w:p>
  </w:endnote>
  <w:endnote w:id="111">
    <w:p w14:paraId="75BAB5EA" w14:textId="7A7753FE" w:rsidR="001B43B4" w:rsidRPr="00157C03" w:rsidRDefault="001B43B4">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Government of Ireland, </w:t>
      </w:r>
      <w:r w:rsidRPr="00157C03">
        <w:rPr>
          <w:rFonts w:cs="Times New Roman"/>
          <w:i/>
          <w:iCs/>
          <w:sz w:val="24"/>
          <w:szCs w:val="24"/>
        </w:rPr>
        <w:t>Report of the Commission on the Defense Forces</w:t>
      </w:r>
      <w:r w:rsidRPr="00157C03">
        <w:rPr>
          <w:rFonts w:cs="Times New Roman"/>
          <w:sz w:val="24"/>
          <w:szCs w:val="24"/>
        </w:rPr>
        <w:t xml:space="preserve"> (Dublin: Stationery Office, 2022), x.</w:t>
      </w:r>
    </w:p>
  </w:endnote>
  <w:endnote w:id="112">
    <w:p w14:paraId="02425582" w14:textId="76A79521" w:rsidR="00025814" w:rsidRPr="00157C03" w:rsidRDefault="00025814">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w:t>
      </w:r>
      <w:r w:rsidRPr="00157C03">
        <w:rPr>
          <w:rFonts w:cs="Times New Roman"/>
          <w:sz w:val="24"/>
          <w:szCs w:val="24"/>
        </w:rPr>
        <w:t xml:space="preserve"> (Newbridge: Department of Defence, 2024); James Clay Moltz, </w:t>
      </w:r>
      <w:r w:rsidRPr="00157C03">
        <w:rPr>
          <w:rFonts w:cs="Times New Roman"/>
          <w:i/>
          <w:iCs/>
          <w:sz w:val="24"/>
          <w:szCs w:val="24"/>
        </w:rPr>
        <w:t>The Politics of Space Security</w:t>
      </w:r>
      <w:r w:rsidRPr="00157C03">
        <w:rPr>
          <w:rFonts w:cs="Times New Roman"/>
          <w:sz w:val="24"/>
          <w:szCs w:val="24"/>
        </w:rPr>
        <w:t xml:space="preserve">; Charles D. Lutes et al., eds., </w:t>
      </w:r>
      <w:r w:rsidRPr="00157C03">
        <w:rPr>
          <w:rFonts w:cs="Times New Roman"/>
          <w:i/>
          <w:iCs/>
          <w:sz w:val="24"/>
          <w:szCs w:val="24"/>
        </w:rPr>
        <w:t>Toward a Theory of Spacepower: Selected Essays</w:t>
      </w:r>
      <w:r w:rsidRPr="00157C03">
        <w:rPr>
          <w:rFonts w:cs="Times New Roman"/>
          <w:sz w:val="24"/>
          <w:szCs w:val="24"/>
        </w:rPr>
        <w:t xml:space="preserve"> (Washington, DC: National Defense University, 2011)</w:t>
      </w:r>
    </w:p>
  </w:endnote>
  <w:endnote w:id="113">
    <w:p w14:paraId="75720089" w14:textId="21E59B65" w:rsidR="00454755" w:rsidRPr="00157C03" w:rsidRDefault="00454755">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Jason Lau, "Medium space power paper," 44;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2019), 131–32.</w:t>
      </w:r>
    </w:p>
  </w:endnote>
  <w:endnote w:id="114">
    <w:p w14:paraId="3C6C0505" w14:textId="5AB373D7" w:rsidR="00454755" w:rsidRPr="00157C03" w:rsidRDefault="00454755">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High Representative of the Union for Foreign Affairs and Security Policy, </w:t>
      </w:r>
      <w:r w:rsidRPr="00157C03">
        <w:rPr>
          <w:rFonts w:cs="Times New Roman"/>
          <w:i/>
          <w:iCs/>
          <w:sz w:val="24"/>
          <w:szCs w:val="24"/>
        </w:rPr>
        <w:t>EU Space Strategy for Security and Defence</w:t>
      </w:r>
      <w:r w:rsidRPr="00157C03">
        <w:rPr>
          <w:rFonts w:cs="Times New Roman"/>
          <w:sz w:val="24"/>
          <w:szCs w:val="24"/>
        </w:rPr>
        <w:t xml:space="preserve"> (ST-7315-2023-INIT, Brussels, 2023), 16; Scott Pace, "Merchant and Guardian Challenges in the Exercise of Spacepower," in </w:t>
      </w:r>
      <w:r w:rsidRPr="00157C03">
        <w:rPr>
          <w:rFonts w:cs="Times New Roman"/>
          <w:i/>
          <w:iCs/>
          <w:sz w:val="24"/>
          <w:szCs w:val="24"/>
        </w:rPr>
        <w:t>Toward a Theory of Spacepower</w:t>
      </w:r>
      <w:r w:rsidRPr="00157C03">
        <w:rPr>
          <w:rFonts w:cs="Times New Roman"/>
          <w:sz w:val="24"/>
          <w:szCs w:val="24"/>
        </w:rPr>
        <w:t>, ed. Charles D. Lutes et al. (Washington, DC: National Defense University, 2011), 108.</w:t>
      </w:r>
    </w:p>
  </w:endnote>
  <w:endnote w:id="115">
    <w:p w14:paraId="21A77320" w14:textId="1BC82C6D" w:rsidR="00454755" w:rsidRPr="00157C03" w:rsidRDefault="00454755">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w:t>
      </w:r>
      <w:r w:rsidR="00A72750" w:rsidRPr="00157C03">
        <w:rPr>
          <w:rFonts w:cs="Times New Roman"/>
          <w:sz w:val="24"/>
          <w:szCs w:val="24"/>
        </w:rPr>
        <w:t>John J. Klein, Space Warfare: Strategy, Principles, and Policy (Abingdon: Routledge, 2024); RAND Corporation, Lessons from the War in Ukraine for Space.</w:t>
      </w:r>
    </w:p>
  </w:endnote>
  <w:endnote w:id="116">
    <w:p w14:paraId="0903994A" w14:textId="4A504D24" w:rsidR="00A72750" w:rsidRPr="00157C03" w:rsidRDefault="00A72750">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Netherlands Ministry of Defence, </w:t>
      </w:r>
      <w:r w:rsidRPr="00157C03">
        <w:rPr>
          <w:rFonts w:cs="Times New Roman"/>
          <w:i/>
          <w:iCs/>
          <w:sz w:val="24"/>
          <w:szCs w:val="24"/>
        </w:rPr>
        <w:t>Defence Space Agenda</w:t>
      </w:r>
      <w:r w:rsidRPr="00157C03">
        <w:rPr>
          <w:rFonts w:cs="Times New Roman"/>
          <w:sz w:val="24"/>
          <w:szCs w:val="24"/>
        </w:rPr>
        <w:t xml:space="preserve">; "Finland Ministry of Defense selects ICEYE for space-based intelligence and surveillance capabilities"; Namrata Goswami and Peter A. Garretson, </w:t>
      </w:r>
      <w:r w:rsidRPr="00157C03">
        <w:rPr>
          <w:rFonts w:cs="Times New Roman"/>
          <w:i/>
          <w:iCs/>
          <w:sz w:val="24"/>
          <w:szCs w:val="24"/>
        </w:rPr>
        <w:t>Scramble for the Skies: The Great Power Competition to Control the Resources of Outer Space</w:t>
      </w:r>
      <w:r w:rsidRPr="00157C03">
        <w:rPr>
          <w:rFonts w:cs="Times New Roman"/>
          <w:sz w:val="24"/>
          <w:szCs w:val="24"/>
        </w:rPr>
        <w:t xml:space="preserve"> (Lanham: Lexington Books, 2020), chap. 7; Jason Lau, "Medium space power paper" (Air Command and Staff College, 2021), 43, 50</w:t>
      </w:r>
    </w:p>
  </w:endnote>
  <w:endnote w:id="117">
    <w:p w14:paraId="68F9424C" w14:textId="62A38FE3" w:rsidR="008122FB" w:rsidRPr="00157C03" w:rsidRDefault="008122F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w:t>
      </w:r>
      <w:r w:rsidRPr="00157C03">
        <w:rPr>
          <w:rFonts w:cs="Times New Roman"/>
          <w:sz w:val="24"/>
          <w:szCs w:val="24"/>
        </w:rPr>
        <w:t xml:space="preserve">(Newbridge: Department of Defence, 2024); Netherlands Ministry of Defence, </w:t>
      </w:r>
      <w:r w:rsidRPr="00157C03">
        <w:rPr>
          <w:rFonts w:cs="Times New Roman"/>
          <w:i/>
          <w:iCs/>
          <w:sz w:val="24"/>
          <w:szCs w:val="24"/>
        </w:rPr>
        <w:t>Defence Space Agenda</w:t>
      </w:r>
      <w:r w:rsidRPr="00157C03">
        <w:rPr>
          <w:rFonts w:cs="Times New Roman"/>
          <w:sz w:val="24"/>
          <w:szCs w:val="24"/>
        </w:rPr>
        <w:t xml:space="preserve"> (November 2022).</w:t>
      </w:r>
    </w:p>
  </w:endnote>
  <w:endnote w:id="118">
    <w:p w14:paraId="203ABE53" w14:textId="54707544" w:rsidR="008122FB" w:rsidRPr="00157C03" w:rsidRDefault="008122F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Defence Forces, </w:t>
      </w:r>
      <w:r w:rsidRPr="00157C03">
        <w:rPr>
          <w:rFonts w:cs="Times New Roman"/>
          <w:i/>
          <w:iCs/>
          <w:sz w:val="24"/>
          <w:szCs w:val="24"/>
        </w:rPr>
        <w:t>IRLJP-01 Military Doctrine for the Irish Defence Forces</w:t>
      </w:r>
      <w:r w:rsidRPr="00157C03">
        <w:rPr>
          <w:rFonts w:cs="Times New Roman"/>
          <w:sz w:val="24"/>
          <w:szCs w:val="24"/>
        </w:rPr>
        <w:t xml:space="preserve"> (Dublin: Defence Forces Printing Press, 2024); Department of Defence and Defence Forces, </w:t>
      </w:r>
      <w:r w:rsidRPr="00157C03">
        <w:rPr>
          <w:rFonts w:cs="Times New Roman"/>
          <w:i/>
          <w:iCs/>
          <w:sz w:val="24"/>
          <w:szCs w:val="24"/>
        </w:rPr>
        <w:t>Defence Policy Review 2024</w:t>
      </w:r>
      <w:r w:rsidRPr="00157C03">
        <w:rPr>
          <w:rFonts w:cs="Times New Roman"/>
          <w:sz w:val="24"/>
          <w:szCs w:val="24"/>
        </w:rPr>
        <w:t>.</w:t>
      </w:r>
    </w:p>
  </w:endnote>
  <w:endnote w:id="119">
    <w:p w14:paraId="6E505EB6" w14:textId="22248DD9" w:rsidR="008122FB" w:rsidRPr="00157C03" w:rsidRDefault="008122F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Department of Defence and Defence Forces, </w:t>
      </w:r>
      <w:r w:rsidRPr="00157C03">
        <w:rPr>
          <w:rFonts w:cs="Times New Roman"/>
          <w:i/>
          <w:iCs/>
          <w:sz w:val="24"/>
          <w:szCs w:val="24"/>
        </w:rPr>
        <w:t>Defence Policy Review 2024: Adjusting and affirming our Defence policy in an era of change</w:t>
      </w:r>
      <w:r w:rsidRPr="00157C03">
        <w:rPr>
          <w:rFonts w:cs="Times New Roman"/>
          <w:sz w:val="24"/>
          <w:szCs w:val="24"/>
        </w:rPr>
        <w:t xml:space="preserve"> (Newbridge: Department of Defence, 2024); Irish Defence Forces, </w:t>
      </w:r>
      <w:r w:rsidRPr="00157C03">
        <w:rPr>
          <w:rFonts w:cs="Times New Roman"/>
          <w:i/>
          <w:iCs/>
          <w:sz w:val="24"/>
          <w:szCs w:val="24"/>
        </w:rPr>
        <w:t>IRLJP-01 Military Doctrine for the Irish Defence Forces</w:t>
      </w:r>
      <w:r w:rsidRPr="00157C03">
        <w:rPr>
          <w:rFonts w:cs="Times New Roman"/>
          <w:sz w:val="24"/>
          <w:szCs w:val="24"/>
        </w:rPr>
        <w:t xml:space="preserve"> (Dublin: Defence Forces Printing Press, 2024); Patrick Bury and David Murphy, "No Time to Spare: Irish Defense and Security in 2025," </w:t>
      </w:r>
      <w:r w:rsidRPr="00157C03">
        <w:rPr>
          <w:rFonts w:cs="Times New Roman"/>
          <w:i/>
          <w:iCs/>
          <w:sz w:val="24"/>
          <w:szCs w:val="24"/>
        </w:rPr>
        <w:t>War on the Rocks</w:t>
      </w:r>
      <w:r w:rsidRPr="00157C03">
        <w:rPr>
          <w:rFonts w:cs="Times New Roman"/>
          <w:sz w:val="24"/>
          <w:szCs w:val="24"/>
        </w:rPr>
        <w:t>, March 17, 2025.</w:t>
      </w:r>
    </w:p>
  </w:endnote>
  <w:endnote w:id="120">
    <w:p w14:paraId="410B22A2" w14:textId="73D76D74" w:rsidR="008122FB" w:rsidRPr="00157C03" w:rsidRDefault="008122F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(February 2022); European Defence Agency, </w:t>
      </w:r>
      <w:r w:rsidRPr="00157C03">
        <w:rPr>
          <w:rFonts w:cs="Times New Roman"/>
          <w:i/>
          <w:iCs/>
          <w:sz w:val="24"/>
          <w:szCs w:val="24"/>
        </w:rPr>
        <w:t>Overview of space developments</w:t>
      </w:r>
      <w:r w:rsidRPr="00157C03">
        <w:rPr>
          <w:rFonts w:cs="Times New Roman"/>
          <w:sz w:val="24"/>
          <w:szCs w:val="24"/>
        </w:rPr>
        <w:t xml:space="preserve"> (February 2024); Department of Defence and Defence Forces, </w:t>
      </w:r>
      <w:r w:rsidRPr="00157C03">
        <w:rPr>
          <w:rFonts w:cs="Times New Roman"/>
          <w:i/>
          <w:iCs/>
          <w:sz w:val="24"/>
          <w:szCs w:val="24"/>
        </w:rPr>
        <w:t>Defence Policy Review 2024</w:t>
      </w:r>
      <w:r w:rsidRPr="00157C03">
        <w:rPr>
          <w:rFonts w:cs="Times New Roman"/>
          <w:sz w:val="24"/>
          <w:szCs w:val="24"/>
        </w:rPr>
        <w:t>.</w:t>
      </w:r>
    </w:p>
  </w:endnote>
  <w:endnote w:id="121">
    <w:p w14:paraId="6DEB675C" w14:textId="1EDEF11D" w:rsidR="008122FB" w:rsidRPr="00157C03" w:rsidRDefault="008122F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Irish Defence Forces, </w:t>
      </w:r>
      <w:r w:rsidRPr="00157C03">
        <w:rPr>
          <w:rFonts w:cs="Times New Roman"/>
          <w:i/>
          <w:iCs/>
          <w:sz w:val="24"/>
          <w:szCs w:val="24"/>
        </w:rPr>
        <w:t>IRLJP-01 Military Doctrine for the Irish Defence Forces</w:t>
      </w:r>
      <w:r w:rsidRPr="00157C03">
        <w:rPr>
          <w:rFonts w:cs="Times New Roman"/>
          <w:sz w:val="24"/>
          <w:szCs w:val="24"/>
        </w:rPr>
        <w:t xml:space="preserve"> (Dublin: Defence Forces Printing Press, 2024), secs. 1.18, 1.22;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(February 2022), 42.</w:t>
      </w:r>
    </w:p>
  </w:endnote>
  <w:endnote w:id="122">
    <w:p w14:paraId="608C3297" w14:textId="2C82E4CF" w:rsidR="008122FB" w:rsidRPr="00157C03" w:rsidRDefault="008122FB">
      <w:pPr>
        <w:pStyle w:val="EndnoteText"/>
        <w:rPr>
          <w:rFonts w:cs="Times New Roman"/>
          <w:sz w:val="24"/>
          <w:szCs w:val="24"/>
          <w:lang w:val="en-US"/>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2024), 89-90, 97; Council of the European Union, </w:t>
      </w:r>
      <w:r w:rsidRPr="00157C03">
        <w:rPr>
          <w:rFonts w:cs="Times New Roman"/>
          <w:i/>
          <w:iCs/>
          <w:sz w:val="24"/>
          <w:szCs w:val="24"/>
        </w:rPr>
        <w:t>Council Conclusions on the EU Space Strategy for Security and Defence</w:t>
      </w:r>
      <w:r w:rsidRPr="00157C03">
        <w:rPr>
          <w:rFonts w:cs="Times New Roman"/>
          <w:sz w:val="24"/>
          <w:szCs w:val="24"/>
        </w:rPr>
        <w:t xml:space="preserve"> (ST-14512-2023-INIT, November 2023), 5, 10</w:t>
      </w:r>
    </w:p>
  </w:endnote>
  <w:endnote w:id="123">
    <w:p w14:paraId="62852A24" w14:textId="0A88B177" w:rsidR="00025C14" w:rsidRPr="00157C03" w:rsidRDefault="00025C14" w:rsidP="00025C14">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590B52" w:rsidRPr="00157C03">
        <w:rPr>
          <w:rFonts w:cs="Times New Roman"/>
          <w:sz w:val="24"/>
          <w:szCs w:val="24"/>
        </w:rPr>
        <w:t xml:space="preserve">European Commission, European Defence Fund, </w:t>
      </w:r>
      <w:r w:rsidR="00590B52" w:rsidRPr="00157C03">
        <w:rPr>
          <w:rFonts w:cs="Times New Roman"/>
          <w:i/>
          <w:iCs/>
          <w:sz w:val="24"/>
          <w:szCs w:val="24"/>
        </w:rPr>
        <w:t>MYRIAD: Multi-Source Image Analysis and Processing</w:t>
      </w:r>
      <w:r w:rsidR="00726738" w:rsidRPr="00157C03">
        <w:rPr>
          <w:rFonts w:cs="Times New Roman"/>
          <w:i/>
          <w:iCs/>
          <w:sz w:val="24"/>
          <w:szCs w:val="24"/>
        </w:rPr>
        <w:t>,</w:t>
      </w:r>
      <w:r w:rsidR="00590B52" w:rsidRPr="00157C03">
        <w:rPr>
          <w:rFonts w:cs="Times New Roman"/>
          <w:i/>
          <w:iCs/>
          <w:sz w:val="24"/>
          <w:szCs w:val="24"/>
        </w:rPr>
        <w:t xml:space="preserve"> Project Factsheet</w:t>
      </w:r>
      <w:r w:rsidR="00590B52" w:rsidRPr="00157C03">
        <w:rPr>
          <w:rFonts w:cs="Times New Roman"/>
          <w:sz w:val="24"/>
          <w:szCs w:val="24"/>
        </w:rPr>
        <w:t xml:space="preserve">, EDF Grant Agreement No. 101224467 (Brussels: European Commission, 2024), </w:t>
      </w:r>
      <w:hyperlink r:id="rId4" w:history="1">
        <w:r w:rsidR="00726738" w:rsidRPr="00157C03">
          <w:rPr>
            <w:rStyle w:val="Hyperlink"/>
            <w:rFonts w:cs="Times New Roman"/>
            <w:sz w:val="24"/>
            <w:szCs w:val="24"/>
          </w:rPr>
          <w:t>https://defence-industry-space.ec.europa.eu/document/download/8a7b47f0-b755-4754-b1e1 4c52225d4c7e_en?filename=FACTSHEET_EDF_2024_LS_RA_CHALLENGE_SPACE_MSIAP_101224467_MYRIAD.pdf</w:t>
        </w:r>
      </w:hyperlink>
      <w:r w:rsidR="00590B52" w:rsidRPr="00157C03">
        <w:rPr>
          <w:rFonts w:cs="Times New Roman"/>
          <w:sz w:val="24"/>
          <w:szCs w:val="24"/>
        </w:rPr>
        <w:t>.</w:t>
      </w:r>
    </w:p>
  </w:endnote>
  <w:endnote w:id="124">
    <w:p w14:paraId="4A4F1C51" w14:textId="58C0B3BF" w:rsidR="006A2E21" w:rsidRPr="00157C03" w:rsidRDefault="006A2E21">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Andrew Radin et al., </w:t>
      </w:r>
      <w:r w:rsidRPr="00157C03">
        <w:rPr>
          <w:rFonts w:cs="Times New Roman"/>
          <w:i/>
          <w:iCs/>
          <w:sz w:val="24"/>
          <w:szCs w:val="24"/>
        </w:rPr>
        <w:t>Lessons from the War in Ukraine for Space: Challenges and Opportunities for Future Conflicts</w:t>
      </w:r>
      <w:r w:rsidRPr="00157C03">
        <w:rPr>
          <w:rFonts w:cs="Times New Roman"/>
          <w:sz w:val="24"/>
          <w:szCs w:val="24"/>
        </w:rPr>
        <w:t xml:space="preserve"> (Santa Monica, CA: RAND Corporation, 2024);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2024).</w:t>
      </w:r>
    </w:p>
  </w:endnote>
  <w:endnote w:id="125">
    <w:p w14:paraId="2B7CE5F0" w14:textId="062DF777" w:rsidR="006A2E21" w:rsidRPr="00157C03" w:rsidRDefault="006A2E21">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Christopher Michael Stone, "Reversing the Tao: A Framework for Credible Space Deterrence" (Master's thesis, 2016); Klein, </w:t>
      </w:r>
      <w:r w:rsidRPr="00157C03">
        <w:rPr>
          <w:rFonts w:cs="Times New Roman"/>
          <w:i/>
          <w:iCs/>
          <w:sz w:val="24"/>
          <w:szCs w:val="24"/>
        </w:rPr>
        <w:t>Space Warfare</w:t>
      </w:r>
      <w:r w:rsidRPr="00157C03">
        <w:rPr>
          <w:rFonts w:cs="Times New Roman"/>
          <w:sz w:val="24"/>
          <w:szCs w:val="24"/>
        </w:rPr>
        <w:t>.</w:t>
      </w:r>
    </w:p>
  </w:endnote>
  <w:endnote w:id="126">
    <w:p w14:paraId="272A0AA2" w14:textId="1D546A41" w:rsidR="005646DF" w:rsidRPr="00157C03" w:rsidRDefault="005646D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Office of the Assistant Secretary of Defense for Homeland Defense and Global Security, </w:t>
      </w:r>
      <w:r w:rsidRPr="00157C03">
        <w:rPr>
          <w:rFonts w:cs="Times New Roman"/>
          <w:i/>
          <w:iCs/>
          <w:sz w:val="24"/>
          <w:szCs w:val="24"/>
        </w:rPr>
        <w:t>Space Domain Mission Assurance: A Resilience Taxonomy</w:t>
      </w:r>
      <w:r w:rsidRPr="00157C03">
        <w:rPr>
          <w:rFonts w:cs="Times New Roman"/>
          <w:sz w:val="24"/>
          <w:szCs w:val="24"/>
        </w:rPr>
        <w:t xml:space="preserve"> (September 2015), as cited in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2024); RAND Corporation, </w:t>
      </w:r>
      <w:r w:rsidRPr="00157C03">
        <w:rPr>
          <w:rFonts w:cs="Times New Roman"/>
          <w:i/>
          <w:iCs/>
          <w:sz w:val="24"/>
          <w:szCs w:val="24"/>
        </w:rPr>
        <w:t>Lessons from the War in Ukraine for Space</w:t>
      </w:r>
      <w:r w:rsidRPr="00157C03">
        <w:rPr>
          <w:rFonts w:cs="Times New Roman"/>
          <w:sz w:val="24"/>
          <w:szCs w:val="24"/>
        </w:rPr>
        <w:t xml:space="preserve"> (Santa Monica, CA: RAND Corporation, 2024).</w:t>
      </w:r>
    </w:p>
  </w:endnote>
  <w:endnote w:id="127">
    <w:p w14:paraId="5D3A7304" w14:textId="2732D286" w:rsidR="005646DF" w:rsidRPr="00157C03" w:rsidRDefault="005646DF">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Patrick Bury and David Murphy, "No Time to Spare: Irish Defense and Security in 2025," </w:t>
      </w:r>
      <w:r w:rsidRPr="00157C03">
        <w:rPr>
          <w:rFonts w:cs="Times New Roman"/>
          <w:i/>
          <w:iCs/>
          <w:sz w:val="24"/>
          <w:szCs w:val="24"/>
        </w:rPr>
        <w:t>War on the Rocks</w:t>
      </w:r>
      <w:r w:rsidRPr="00157C03">
        <w:rPr>
          <w:rFonts w:cs="Times New Roman"/>
          <w:sz w:val="24"/>
          <w:szCs w:val="24"/>
        </w:rPr>
        <w:t xml:space="preserve">, March 17, 2025; Department of Defence and Defence Forces, </w:t>
      </w:r>
      <w:r w:rsidRPr="00157C03">
        <w:rPr>
          <w:rFonts w:cs="Times New Roman"/>
          <w:i/>
          <w:iCs/>
          <w:sz w:val="24"/>
          <w:szCs w:val="24"/>
        </w:rPr>
        <w:t>Defence Policy Review 2024</w:t>
      </w:r>
      <w:r w:rsidRPr="00157C03">
        <w:rPr>
          <w:rFonts w:cs="Times New Roman"/>
          <w:sz w:val="24"/>
          <w:szCs w:val="24"/>
        </w:rPr>
        <w:t xml:space="preserve"> (Newbridge: Department of Defence, 2024); Commission on the Defence Forces, </w:t>
      </w:r>
      <w:r w:rsidRPr="00157C03">
        <w:rPr>
          <w:rFonts w:cs="Times New Roman"/>
          <w:i/>
          <w:iCs/>
          <w:sz w:val="24"/>
          <w:szCs w:val="24"/>
        </w:rPr>
        <w:t>Report of the Commission on the Defence Forces</w:t>
      </w:r>
      <w:r w:rsidRPr="00157C03">
        <w:rPr>
          <w:rFonts w:cs="Times New Roman"/>
          <w:sz w:val="24"/>
          <w:szCs w:val="24"/>
        </w:rPr>
        <w:t xml:space="preserve"> (February 2022); John J. Klein, </w:t>
      </w:r>
      <w:r w:rsidRPr="00157C03">
        <w:rPr>
          <w:rFonts w:cs="Times New Roman"/>
          <w:i/>
          <w:iCs/>
          <w:sz w:val="24"/>
          <w:szCs w:val="24"/>
        </w:rPr>
        <w:t>Space Warfare: Strategy, Principles, and Policy</w:t>
      </w:r>
      <w:r w:rsidRPr="00157C03">
        <w:rPr>
          <w:rFonts w:cs="Times New Roman"/>
          <w:sz w:val="24"/>
          <w:szCs w:val="24"/>
        </w:rPr>
        <w:t xml:space="preserve"> (Abingdon: Routledge, 2024).</w:t>
      </w:r>
    </w:p>
  </w:endnote>
  <w:endnote w:id="128">
    <w:p w14:paraId="3F84FCA4" w14:textId="77777777"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John J. Klein, </w:t>
      </w:r>
      <w:r w:rsidRPr="00157C03">
        <w:rPr>
          <w:rFonts w:cs="Times New Roman"/>
          <w:i/>
          <w:iCs/>
          <w:sz w:val="24"/>
          <w:szCs w:val="24"/>
        </w:rPr>
        <w:t>Understanding Space Strategy</w:t>
      </w:r>
      <w:r w:rsidRPr="00157C03">
        <w:rPr>
          <w:rFonts w:cs="Times New Roman"/>
          <w:sz w:val="24"/>
          <w:szCs w:val="24"/>
        </w:rPr>
        <w:t>: The Art of War in Space (Abingdon: Routledge, 2019), 21.</w:t>
      </w:r>
    </w:p>
  </w:endnote>
  <w:endnote w:id="129">
    <w:p w14:paraId="59C5D1D9" w14:textId="7B8E4FF3" w:rsidR="0076640D" w:rsidRPr="00157C03" w:rsidRDefault="0076640D">
      <w:pPr>
        <w:pStyle w:val="EndnoteText"/>
        <w:rPr>
          <w:sz w:val="24"/>
          <w:szCs w:val="24"/>
          <w:lang w:val="en-US"/>
        </w:rPr>
      </w:pPr>
      <w:r w:rsidRPr="00157C03">
        <w:rPr>
          <w:rStyle w:val="EndnoteReference"/>
          <w:sz w:val="24"/>
          <w:szCs w:val="24"/>
        </w:rPr>
        <w:endnoteRef/>
      </w:r>
      <w:r w:rsidRPr="00157C03">
        <w:rPr>
          <w:sz w:val="24"/>
          <w:szCs w:val="24"/>
        </w:rPr>
        <w:t xml:space="preserve"> John J. Klein, </w:t>
      </w:r>
      <w:r w:rsidRPr="00157C03">
        <w:rPr>
          <w:i/>
          <w:iCs/>
          <w:sz w:val="24"/>
          <w:szCs w:val="24"/>
        </w:rPr>
        <w:t>Space Warfare: Strategy, Principles, and Policy</w:t>
      </w:r>
      <w:r w:rsidRPr="00157C03">
        <w:rPr>
          <w:sz w:val="24"/>
          <w:szCs w:val="24"/>
        </w:rPr>
        <w:t xml:space="preserve">, 2nd ed. (Abingdon: Routledge, 2025), 224–25; Jason Lau, "Spacepower Strategy for Medium Powers: Applying Observations from the Maritime Domain" (research paper, Air Command and Staff College, 2023), 44; Netherlands Ministry of Defence, </w:t>
      </w:r>
      <w:r w:rsidRPr="00157C03">
        <w:rPr>
          <w:i/>
          <w:iCs/>
          <w:sz w:val="24"/>
          <w:szCs w:val="24"/>
        </w:rPr>
        <w:t>Defence Space Agenda</w:t>
      </w:r>
      <w:r w:rsidRPr="00157C03">
        <w:rPr>
          <w:sz w:val="24"/>
          <w:szCs w:val="24"/>
        </w:rPr>
        <w:t xml:space="preserve"> (November 2022), 7.</w:t>
      </w:r>
    </w:p>
  </w:endnote>
  <w:endnote w:id="130">
    <w:p w14:paraId="5257320A" w14:textId="629ACB87" w:rsidR="0076640D" w:rsidRPr="00157C03" w:rsidRDefault="0076640D">
      <w:pPr>
        <w:pStyle w:val="EndnoteText"/>
        <w:rPr>
          <w:sz w:val="24"/>
          <w:szCs w:val="24"/>
          <w:lang w:val="en-US"/>
        </w:rPr>
      </w:pPr>
      <w:r w:rsidRPr="00157C03">
        <w:rPr>
          <w:rStyle w:val="EndnoteReference"/>
          <w:sz w:val="24"/>
          <w:szCs w:val="24"/>
        </w:rPr>
        <w:endnoteRef/>
      </w:r>
      <w:r w:rsidRPr="00157C03">
        <w:rPr>
          <w:sz w:val="24"/>
          <w:szCs w:val="24"/>
        </w:rPr>
        <w:t xml:space="preserve"> Namrata Goswami and Peter A. Garretson, </w:t>
      </w:r>
      <w:r w:rsidRPr="00157C03">
        <w:rPr>
          <w:i/>
          <w:iCs/>
          <w:sz w:val="24"/>
          <w:szCs w:val="24"/>
        </w:rPr>
        <w:t>Scramble for the Skies: The Great Power Competition to Control the Resources of Outer Space</w:t>
      </w:r>
      <w:r w:rsidRPr="00157C03">
        <w:rPr>
          <w:sz w:val="24"/>
          <w:szCs w:val="24"/>
        </w:rPr>
        <w:t xml:space="preserve"> (Lanham: Lexington Books, 2020), 293.</w:t>
      </w:r>
    </w:p>
  </w:endnote>
  <w:endnote w:id="131">
    <w:p w14:paraId="3932EB25" w14:textId="1077D6F4" w:rsidR="00D02191" w:rsidRPr="00157C03" w:rsidRDefault="00D02191">
      <w:pPr>
        <w:pStyle w:val="EndnoteText"/>
        <w:rPr>
          <w:sz w:val="24"/>
          <w:szCs w:val="24"/>
          <w:lang w:val="en-US"/>
        </w:rPr>
      </w:pPr>
      <w:r w:rsidRPr="00157C03">
        <w:rPr>
          <w:rStyle w:val="EndnoteReference"/>
          <w:sz w:val="24"/>
          <w:szCs w:val="24"/>
        </w:rPr>
        <w:endnoteRef/>
      </w:r>
      <w:r w:rsidRPr="00157C03">
        <w:rPr>
          <w:sz w:val="24"/>
          <w:szCs w:val="24"/>
        </w:rPr>
        <w:t xml:space="preserve"> Irish Air Corps, </w:t>
      </w:r>
      <w:r w:rsidRPr="00157C03">
        <w:rPr>
          <w:i/>
          <w:iCs/>
          <w:sz w:val="24"/>
          <w:szCs w:val="24"/>
        </w:rPr>
        <w:t>Force Generation Board Report</w:t>
      </w:r>
      <w:r w:rsidRPr="00157C03">
        <w:rPr>
          <w:sz w:val="24"/>
          <w:szCs w:val="24"/>
        </w:rPr>
        <w:t xml:space="preserve"> (June 2024), 62-63; Charles D. Lutes et al., eds., </w:t>
      </w:r>
      <w:r w:rsidRPr="00157C03">
        <w:rPr>
          <w:i/>
          <w:iCs/>
          <w:sz w:val="24"/>
          <w:szCs w:val="24"/>
        </w:rPr>
        <w:t>Toward a Theory of Spacepower: Selected Essays</w:t>
      </w:r>
      <w:r w:rsidRPr="00157C03">
        <w:rPr>
          <w:sz w:val="24"/>
          <w:szCs w:val="24"/>
        </w:rPr>
        <w:t xml:space="preserve"> (Washington, DC: National Defense University, 2011); James E. Oberg, </w:t>
      </w:r>
      <w:r w:rsidRPr="00157C03">
        <w:rPr>
          <w:i/>
          <w:iCs/>
          <w:sz w:val="24"/>
          <w:szCs w:val="24"/>
        </w:rPr>
        <w:t>Space Power Theory</w:t>
      </w:r>
      <w:r w:rsidRPr="00157C03">
        <w:rPr>
          <w:sz w:val="24"/>
          <w:szCs w:val="24"/>
        </w:rPr>
        <w:t xml:space="preserve"> (Colorado Springs: U.S. Space Command, 2000), 149.</w:t>
      </w:r>
    </w:p>
  </w:endnote>
  <w:endnote w:id="132">
    <w:p w14:paraId="6BDCE33C" w14:textId="4FE53231" w:rsidR="0044231D" w:rsidRPr="00157C03" w:rsidRDefault="00000000">
      <w:pPr>
        <w:pStyle w:val="EndnoteText"/>
        <w:rPr>
          <w:rFonts w:cs="Times New Roman"/>
          <w:sz w:val="24"/>
          <w:szCs w:val="24"/>
        </w:rPr>
      </w:pPr>
      <w:r w:rsidRPr="00157C03">
        <w:rPr>
          <w:rStyle w:val="EndnoteReference"/>
          <w:rFonts w:cs="Times New Roman"/>
          <w:sz w:val="24"/>
          <w:szCs w:val="24"/>
        </w:rPr>
        <w:endnoteRef/>
      </w:r>
      <w:r w:rsidRPr="00157C03">
        <w:rPr>
          <w:rFonts w:cs="Times New Roman"/>
          <w:sz w:val="24"/>
          <w:szCs w:val="24"/>
        </w:rPr>
        <w:t xml:space="preserve"> </w:t>
      </w:r>
      <w:r w:rsidR="00D02191" w:rsidRPr="00157C03">
        <w:rPr>
          <w:rFonts w:cs="Times New Roman"/>
          <w:sz w:val="24"/>
          <w:szCs w:val="24"/>
        </w:rPr>
        <w:t xml:space="preserve">Andrew Radin et al., </w:t>
      </w:r>
      <w:r w:rsidR="00D02191" w:rsidRPr="00157C03">
        <w:rPr>
          <w:rFonts w:cs="Times New Roman"/>
          <w:i/>
          <w:iCs/>
          <w:sz w:val="24"/>
          <w:szCs w:val="24"/>
        </w:rPr>
        <w:t>Lessons from the War in Ukraine for Space: Challenges and Opportunities for Future Conflicts</w:t>
      </w:r>
      <w:r w:rsidR="00D02191" w:rsidRPr="00157C03">
        <w:rPr>
          <w:rFonts w:cs="Times New Roman"/>
          <w:sz w:val="24"/>
          <w:szCs w:val="24"/>
        </w:rPr>
        <w:t xml:space="preserve"> (Santa Monica, CA: RAND Corporation, 2024), 28; Netherlands Ministry of Defence, </w:t>
      </w:r>
      <w:r w:rsidR="00D02191" w:rsidRPr="00157C03">
        <w:rPr>
          <w:rFonts w:cs="Times New Roman"/>
          <w:i/>
          <w:iCs/>
          <w:sz w:val="24"/>
          <w:szCs w:val="24"/>
        </w:rPr>
        <w:t>Defence Space Agenda</w:t>
      </w:r>
      <w:r w:rsidR="00D02191" w:rsidRPr="00157C03">
        <w:rPr>
          <w:rFonts w:cs="Times New Roman"/>
          <w:sz w:val="24"/>
          <w:szCs w:val="24"/>
        </w:rPr>
        <w:t xml:space="preserve"> (November 2022), 16-17.</w:t>
      </w:r>
    </w:p>
  </w:endnote>
  <w:endnote w:id="133">
    <w:p w14:paraId="5EAA0F06" w14:textId="20E2CA7E" w:rsidR="00D02191" w:rsidRPr="00157C03" w:rsidRDefault="00D02191">
      <w:pPr>
        <w:pStyle w:val="EndnoteText"/>
        <w:rPr>
          <w:sz w:val="24"/>
          <w:szCs w:val="24"/>
          <w:lang w:val="en-US"/>
        </w:rPr>
      </w:pPr>
      <w:r w:rsidRPr="00157C03">
        <w:rPr>
          <w:rStyle w:val="EndnoteReference"/>
          <w:sz w:val="24"/>
          <w:szCs w:val="24"/>
        </w:rPr>
        <w:endnoteRef/>
      </w:r>
      <w:r w:rsidRPr="00157C03">
        <w:rPr>
          <w:sz w:val="24"/>
          <w:szCs w:val="24"/>
        </w:rPr>
        <w:t xml:space="preserve"> John J. Klein, </w:t>
      </w:r>
      <w:r w:rsidRPr="00157C03">
        <w:rPr>
          <w:i/>
          <w:iCs/>
          <w:sz w:val="24"/>
          <w:szCs w:val="24"/>
        </w:rPr>
        <w:t>Space Warfare: Strategy, Principles, and Policy</w:t>
      </w:r>
      <w:r w:rsidRPr="00157C03">
        <w:rPr>
          <w:sz w:val="24"/>
          <w:szCs w:val="24"/>
        </w:rPr>
        <w:t xml:space="preserve"> (Abingdon: Routledge, 2024); James E. Oberg, </w:t>
      </w:r>
      <w:r w:rsidRPr="00157C03">
        <w:rPr>
          <w:i/>
          <w:iCs/>
          <w:sz w:val="24"/>
          <w:szCs w:val="24"/>
        </w:rPr>
        <w:t>Space Power Theory</w:t>
      </w:r>
      <w:r w:rsidRPr="00157C03">
        <w:rPr>
          <w:sz w:val="24"/>
          <w:szCs w:val="24"/>
        </w:rPr>
        <w:t xml:space="preserve"> (Colorado Springs: U.S. Space Command, 2000), 130.</w:t>
      </w:r>
    </w:p>
  </w:endnote>
  <w:endnote w:id="134">
    <w:p w14:paraId="293851C2" w14:textId="67076912" w:rsidR="00900996" w:rsidRPr="00157C03" w:rsidRDefault="00900996">
      <w:pPr>
        <w:pStyle w:val="EndnoteText"/>
        <w:rPr>
          <w:sz w:val="24"/>
          <w:szCs w:val="24"/>
          <w:lang w:val="en-US"/>
        </w:rPr>
      </w:pPr>
      <w:r w:rsidRPr="00157C03">
        <w:rPr>
          <w:rStyle w:val="EndnoteReference"/>
          <w:sz w:val="24"/>
          <w:szCs w:val="24"/>
        </w:rPr>
        <w:endnoteRef/>
      </w:r>
      <w:r w:rsidRPr="00157C03">
        <w:rPr>
          <w:sz w:val="24"/>
          <w:szCs w:val="24"/>
        </w:rPr>
        <w:t xml:space="preserve"> John J. Klein, </w:t>
      </w:r>
      <w:r w:rsidRPr="00157C03">
        <w:rPr>
          <w:i/>
          <w:iCs/>
          <w:sz w:val="24"/>
          <w:szCs w:val="24"/>
        </w:rPr>
        <w:t>Understanding Space Strategy: The Art of War in Space</w:t>
      </w:r>
      <w:r w:rsidRPr="00157C03">
        <w:rPr>
          <w:sz w:val="24"/>
          <w:szCs w:val="24"/>
        </w:rPr>
        <w:t xml:space="preserve"> (Abingdon: Routledge, 2019), chap. 8; Permanent Structured Cooperation (PESCO), "European Military Space Surveillance Awareness Network (EU-SSA-N)"; Netherlands Ministry of Defence, </w:t>
      </w:r>
      <w:r w:rsidRPr="00157C03">
        <w:rPr>
          <w:i/>
          <w:iCs/>
          <w:sz w:val="24"/>
          <w:szCs w:val="24"/>
        </w:rPr>
        <w:t>Defence Space Agenda</w:t>
      </w:r>
      <w:r w:rsidRPr="00157C03">
        <w:rPr>
          <w:sz w:val="24"/>
          <w:szCs w:val="24"/>
        </w:rPr>
        <w:t xml:space="preserve"> (November 2022), 17-18.</w:t>
      </w:r>
    </w:p>
  </w:endnote>
  <w:endnote w:id="135">
    <w:p w14:paraId="520E381C" w14:textId="2A584C84" w:rsidR="00425657" w:rsidRPr="00157C03" w:rsidRDefault="00425657">
      <w:pPr>
        <w:pStyle w:val="EndnoteText"/>
        <w:rPr>
          <w:sz w:val="24"/>
          <w:szCs w:val="24"/>
          <w:lang w:val="en-US"/>
        </w:rPr>
      </w:pPr>
      <w:r w:rsidRPr="00157C03">
        <w:rPr>
          <w:rStyle w:val="EndnoteReference"/>
          <w:sz w:val="24"/>
          <w:szCs w:val="24"/>
        </w:rPr>
        <w:endnoteRef/>
      </w:r>
      <w:r w:rsidRPr="00157C03">
        <w:rPr>
          <w:sz w:val="24"/>
          <w:szCs w:val="24"/>
        </w:rPr>
        <w:t xml:space="preserve"> Charles D. Lutes et al., eds., </w:t>
      </w:r>
      <w:r w:rsidRPr="00157C03">
        <w:rPr>
          <w:i/>
          <w:iCs/>
          <w:sz w:val="24"/>
          <w:szCs w:val="24"/>
        </w:rPr>
        <w:t>Toward a Theory of Spacepower: Selected Essays</w:t>
      </w:r>
      <w:r w:rsidRPr="00157C03">
        <w:rPr>
          <w:sz w:val="24"/>
          <w:szCs w:val="24"/>
        </w:rPr>
        <w:t xml:space="preserve"> (Washington, DC: National Defense University, 2011); Joan Johnson-Freese, </w:t>
      </w:r>
      <w:r w:rsidRPr="00157C03">
        <w:rPr>
          <w:i/>
          <w:iCs/>
          <w:sz w:val="24"/>
          <w:szCs w:val="24"/>
        </w:rPr>
        <w:t>Space as a Strategic Asset</w:t>
      </w:r>
      <w:r w:rsidRPr="00157C03">
        <w:rPr>
          <w:sz w:val="24"/>
          <w:szCs w:val="24"/>
        </w:rPr>
        <w:t xml:space="preserve"> (New York: Columbia University Press, 2007), 33-39; European Defence Agency, </w:t>
      </w:r>
      <w:r w:rsidRPr="00157C03">
        <w:rPr>
          <w:i/>
          <w:iCs/>
          <w:sz w:val="24"/>
          <w:szCs w:val="24"/>
        </w:rPr>
        <w:t>Overview of space developments</w:t>
      </w:r>
      <w:r w:rsidRPr="00157C03">
        <w:rPr>
          <w:sz w:val="24"/>
          <w:szCs w:val="24"/>
        </w:rPr>
        <w:t xml:space="preserve"> (February 2024), 15, 56-57.</w:t>
      </w:r>
    </w:p>
  </w:endnote>
  <w:endnote w:id="136">
    <w:p w14:paraId="1C242E6E" w14:textId="298322E2" w:rsidR="00425657" w:rsidRPr="00157C03" w:rsidRDefault="00425657">
      <w:pPr>
        <w:pStyle w:val="EndnoteText"/>
        <w:rPr>
          <w:sz w:val="24"/>
          <w:szCs w:val="24"/>
          <w:lang w:val="en-US"/>
        </w:rPr>
      </w:pPr>
      <w:r w:rsidRPr="00157C03">
        <w:rPr>
          <w:rStyle w:val="EndnoteReference"/>
          <w:sz w:val="24"/>
          <w:szCs w:val="24"/>
        </w:rPr>
        <w:endnoteRef/>
      </w:r>
      <w:r w:rsidRPr="00157C03">
        <w:rPr>
          <w:sz w:val="24"/>
          <w:szCs w:val="24"/>
        </w:rPr>
        <w:t xml:space="preserve"> Charles D. Lutes et al., eds., </w:t>
      </w:r>
      <w:r w:rsidRPr="00157C03">
        <w:rPr>
          <w:i/>
          <w:iCs/>
          <w:sz w:val="24"/>
          <w:szCs w:val="24"/>
        </w:rPr>
        <w:t>Toward a Theory of Spacepower: Selected Essays</w:t>
      </w:r>
      <w:r w:rsidRPr="00157C03">
        <w:rPr>
          <w:sz w:val="24"/>
          <w:szCs w:val="24"/>
        </w:rPr>
        <w:t xml:space="preserve"> (Washington, DC: National Defense University, 2011); John J. Klein, </w:t>
      </w:r>
      <w:r w:rsidRPr="00157C03">
        <w:rPr>
          <w:i/>
          <w:iCs/>
          <w:sz w:val="24"/>
          <w:szCs w:val="24"/>
        </w:rPr>
        <w:t>Space Warfare: Strategy, Principles, and Policy</w:t>
      </w:r>
      <w:r w:rsidRPr="00157C03">
        <w:rPr>
          <w:sz w:val="24"/>
          <w:szCs w:val="24"/>
        </w:rPr>
        <w:t xml:space="preserve"> (Abingdon: Routledge, 2024), chap. 16.</w:t>
      </w:r>
    </w:p>
  </w:endnote>
  <w:endnote w:id="137">
    <w:p w14:paraId="0126CAB0" w14:textId="569ED929" w:rsidR="00A605D0" w:rsidRPr="00157C03" w:rsidRDefault="00A605D0">
      <w:pPr>
        <w:pStyle w:val="EndnoteText"/>
        <w:rPr>
          <w:sz w:val="24"/>
          <w:szCs w:val="24"/>
          <w:lang w:val="en-US"/>
        </w:rPr>
      </w:pPr>
      <w:r w:rsidRPr="00157C03">
        <w:rPr>
          <w:rStyle w:val="EndnoteReference"/>
          <w:sz w:val="24"/>
          <w:szCs w:val="24"/>
        </w:rPr>
        <w:endnoteRef/>
      </w:r>
      <w:r w:rsidRPr="00157C03">
        <w:rPr>
          <w:sz w:val="24"/>
          <w:szCs w:val="24"/>
        </w:rPr>
        <w:t xml:space="preserve"> Office of the Assistant Secretary of Defense for Homeland Defense and Global Security, </w:t>
      </w:r>
      <w:r w:rsidRPr="00157C03">
        <w:rPr>
          <w:i/>
          <w:iCs/>
          <w:sz w:val="24"/>
          <w:szCs w:val="24"/>
        </w:rPr>
        <w:t>Space Domain Mission Assurance: A Resilience Taxonomy</w:t>
      </w:r>
      <w:r w:rsidRPr="00157C03">
        <w:rPr>
          <w:sz w:val="24"/>
          <w:szCs w:val="24"/>
        </w:rPr>
        <w:t xml:space="preserve"> (September 2015), 6; Christopher Michael Stone, "Reversing the Tao: A Framework for Credible Space Deterrence" (Master's thesis, Missouri State University, 2016), 65.</w:t>
      </w:r>
    </w:p>
  </w:endnote>
  <w:endnote w:id="138">
    <w:p w14:paraId="69446197" w14:textId="163EF5BA" w:rsidR="00A605D0" w:rsidRPr="00157C03" w:rsidRDefault="00A605D0">
      <w:pPr>
        <w:pStyle w:val="EndnoteText"/>
        <w:rPr>
          <w:sz w:val="24"/>
          <w:szCs w:val="24"/>
          <w:lang w:val="en-US"/>
        </w:rPr>
      </w:pPr>
      <w:r w:rsidRPr="00157C03">
        <w:rPr>
          <w:rStyle w:val="EndnoteReference"/>
          <w:sz w:val="24"/>
          <w:szCs w:val="24"/>
        </w:rPr>
        <w:endnoteRef/>
      </w:r>
      <w:r w:rsidRPr="00157C03">
        <w:rPr>
          <w:sz w:val="24"/>
          <w:szCs w:val="24"/>
        </w:rPr>
        <w:t xml:space="preserve"> Andrew Radin et al., </w:t>
      </w:r>
      <w:r w:rsidRPr="00157C03">
        <w:rPr>
          <w:i/>
          <w:iCs/>
          <w:sz w:val="24"/>
          <w:szCs w:val="24"/>
        </w:rPr>
        <w:t>Lessons from the War in Ukraine for Space: Challenges and Opportunities for Future Conflicts</w:t>
      </w:r>
      <w:r w:rsidRPr="00157C03">
        <w:rPr>
          <w:sz w:val="24"/>
          <w:szCs w:val="24"/>
        </w:rPr>
        <w:t xml:space="preserve"> (Santa Monica, CA: RAND Corporation, 2024), 31–32; Department of Defence and Defence Forces, </w:t>
      </w:r>
      <w:r w:rsidRPr="00157C03">
        <w:rPr>
          <w:i/>
          <w:iCs/>
          <w:sz w:val="24"/>
          <w:szCs w:val="24"/>
        </w:rPr>
        <w:t>Defence Policy Review 2024: Adjusting and affirming our Defence policy in an era of change</w:t>
      </w:r>
      <w:r w:rsidRPr="00157C03">
        <w:rPr>
          <w:sz w:val="24"/>
          <w:szCs w:val="24"/>
        </w:rPr>
        <w:t xml:space="preserve"> (Newbridge: Department of Defence, 2024), sec. 2.3.1; Jason Lau, "Spacepower Strategy for Medium Powers: Applying Observations from the Maritime Domain" (research paper, Air Command and Staff College, 2023), 45; John J. Klein, </w:t>
      </w:r>
      <w:r w:rsidRPr="00157C03">
        <w:rPr>
          <w:i/>
          <w:iCs/>
          <w:sz w:val="24"/>
          <w:szCs w:val="24"/>
        </w:rPr>
        <w:t>Space Warfare: Strategy, Principles, and Policy</w:t>
      </w:r>
      <w:r w:rsidRPr="00157C03">
        <w:rPr>
          <w:sz w:val="24"/>
          <w:szCs w:val="24"/>
        </w:rPr>
        <w:t xml:space="preserve"> (Abingdon: Routledge, 2024), 274.</w:t>
      </w:r>
    </w:p>
  </w:endnote>
  <w:endnote w:id="139">
    <w:p w14:paraId="598C49FB" w14:textId="18F52731" w:rsidR="00A605D0" w:rsidRPr="00157C03" w:rsidRDefault="00A605D0">
      <w:pPr>
        <w:pStyle w:val="EndnoteText"/>
        <w:rPr>
          <w:sz w:val="24"/>
          <w:szCs w:val="24"/>
          <w:lang w:val="en-US"/>
        </w:rPr>
      </w:pPr>
      <w:r w:rsidRPr="00157C03">
        <w:rPr>
          <w:rStyle w:val="EndnoteReference"/>
          <w:sz w:val="24"/>
          <w:szCs w:val="24"/>
        </w:rPr>
        <w:endnoteRef/>
      </w:r>
      <w:r w:rsidRPr="00157C03">
        <w:rPr>
          <w:sz w:val="24"/>
          <w:szCs w:val="24"/>
        </w:rPr>
        <w:t xml:space="preserve"> Netherlands Ministry of Defence, </w:t>
      </w:r>
      <w:r w:rsidRPr="00157C03">
        <w:rPr>
          <w:i/>
          <w:iCs/>
          <w:sz w:val="24"/>
          <w:szCs w:val="24"/>
        </w:rPr>
        <w:t>Defence Space Agenda</w:t>
      </w:r>
      <w:r w:rsidRPr="00157C03">
        <w:rPr>
          <w:sz w:val="24"/>
          <w:szCs w:val="24"/>
        </w:rPr>
        <w:t xml:space="preserve"> (November 2022), 13; John J. Klein, </w:t>
      </w:r>
      <w:r w:rsidRPr="00157C03">
        <w:rPr>
          <w:i/>
          <w:iCs/>
          <w:sz w:val="24"/>
          <w:szCs w:val="24"/>
        </w:rPr>
        <w:t>Space Warfare: Strategy, Principles, and Policy</w:t>
      </w:r>
      <w:r w:rsidRPr="00157C03">
        <w:rPr>
          <w:sz w:val="24"/>
          <w:szCs w:val="24"/>
        </w:rPr>
        <w:t>, 2nd ed. (Abingdon: Routledge, 2025).</w:t>
      </w:r>
    </w:p>
  </w:endnote>
  <w:endnote w:id="140">
    <w:p w14:paraId="0984A633" w14:textId="21DE094A" w:rsidR="00A605D0" w:rsidRPr="00157C03" w:rsidRDefault="00A605D0">
      <w:pPr>
        <w:pStyle w:val="EndnoteText"/>
        <w:rPr>
          <w:sz w:val="24"/>
          <w:szCs w:val="24"/>
          <w:lang w:val="en-US"/>
        </w:rPr>
      </w:pPr>
      <w:r w:rsidRPr="00157C03">
        <w:rPr>
          <w:rStyle w:val="EndnoteReference"/>
          <w:sz w:val="24"/>
          <w:szCs w:val="24"/>
        </w:rPr>
        <w:endnoteRef/>
      </w:r>
      <w:r w:rsidRPr="00157C03">
        <w:rPr>
          <w:sz w:val="24"/>
          <w:szCs w:val="24"/>
        </w:rPr>
        <w:t xml:space="preserve"> Netherlands Ministry of Defence, </w:t>
      </w:r>
      <w:r w:rsidRPr="00157C03">
        <w:rPr>
          <w:i/>
          <w:iCs/>
          <w:sz w:val="24"/>
          <w:szCs w:val="24"/>
        </w:rPr>
        <w:t>Defence Space Agenda</w:t>
      </w:r>
      <w:r w:rsidRPr="00157C03">
        <w:rPr>
          <w:sz w:val="24"/>
          <w:szCs w:val="24"/>
        </w:rPr>
        <w:t xml:space="preserve"> (November 2022), 15-16, 23; Department of Defence and Defence Forces, </w:t>
      </w:r>
      <w:r w:rsidRPr="00157C03">
        <w:rPr>
          <w:i/>
          <w:iCs/>
          <w:sz w:val="24"/>
          <w:szCs w:val="24"/>
        </w:rPr>
        <w:t>Defence Policy Review 2024: Adjusting and affirming our Defence policy in an era of change</w:t>
      </w:r>
      <w:r w:rsidRPr="00157C03">
        <w:rPr>
          <w:sz w:val="24"/>
          <w:szCs w:val="24"/>
        </w:rPr>
        <w:t xml:space="preserve"> (Newbridge: Department of Defence, 2024), sec. 3.2.1.6.</w:t>
      </w:r>
    </w:p>
  </w:endnote>
  <w:endnote w:id="141">
    <w:p w14:paraId="12715EE2" w14:textId="4D7E2973" w:rsidR="00165BDE" w:rsidRPr="00157C03" w:rsidRDefault="00165BDE">
      <w:pPr>
        <w:pStyle w:val="EndnoteText"/>
        <w:rPr>
          <w:sz w:val="24"/>
          <w:szCs w:val="24"/>
          <w:lang w:val="en-US"/>
        </w:rPr>
      </w:pPr>
      <w:r w:rsidRPr="00157C03">
        <w:rPr>
          <w:rStyle w:val="EndnoteReference"/>
          <w:sz w:val="24"/>
          <w:szCs w:val="24"/>
        </w:rPr>
        <w:endnoteRef/>
      </w:r>
      <w:r w:rsidRPr="00157C03">
        <w:rPr>
          <w:sz w:val="24"/>
          <w:szCs w:val="24"/>
        </w:rPr>
        <w:t xml:space="preserve"> Michael J. Mazarr, </w:t>
      </w:r>
      <w:r w:rsidRPr="00157C03">
        <w:rPr>
          <w:i/>
          <w:iCs/>
          <w:sz w:val="24"/>
          <w:szCs w:val="24"/>
        </w:rPr>
        <w:t>Understanding Deterrence</w:t>
      </w:r>
      <w:r w:rsidRPr="00157C03">
        <w:rPr>
          <w:sz w:val="24"/>
          <w:szCs w:val="24"/>
        </w:rPr>
        <w:t xml:space="preserve"> (Santa Monica, CA: RAND Corporation, 2018); Jason Lau, "Medium space power paper" (Air Command and Staff College), 36, 45–46.</w:t>
      </w:r>
    </w:p>
  </w:endnote>
  <w:endnote w:id="142">
    <w:p w14:paraId="1B2A4712" w14:textId="12A5AB9D" w:rsidR="00165BDE" w:rsidRPr="00157C03" w:rsidRDefault="00165BDE">
      <w:pPr>
        <w:pStyle w:val="EndnoteText"/>
        <w:rPr>
          <w:sz w:val="24"/>
          <w:szCs w:val="24"/>
          <w:lang w:val="en-US"/>
        </w:rPr>
      </w:pPr>
      <w:r w:rsidRPr="00157C03">
        <w:rPr>
          <w:rStyle w:val="EndnoteReference"/>
          <w:sz w:val="24"/>
          <w:szCs w:val="24"/>
        </w:rPr>
        <w:endnoteRef/>
      </w:r>
      <w:r w:rsidRPr="00157C03">
        <w:rPr>
          <w:sz w:val="24"/>
          <w:szCs w:val="24"/>
        </w:rPr>
        <w:t xml:space="preserve"> Christopher Michael Stone, "Reversing the Tao: A Framework for Credible Space Deterrence" (Master's thesis, Missouri State University, 2015), 7; Lau, "Medium space power paper," 41.</w:t>
      </w:r>
    </w:p>
  </w:endnote>
  <w:endnote w:id="143">
    <w:p w14:paraId="4D74B58D" w14:textId="24529F17" w:rsidR="00165BDE" w:rsidRPr="00157C03" w:rsidRDefault="00165BDE">
      <w:pPr>
        <w:pStyle w:val="EndnoteText"/>
        <w:rPr>
          <w:sz w:val="24"/>
          <w:szCs w:val="24"/>
          <w:lang w:val="en-US"/>
        </w:rPr>
      </w:pPr>
      <w:r w:rsidRPr="00157C03">
        <w:rPr>
          <w:rStyle w:val="EndnoteReference"/>
          <w:sz w:val="24"/>
          <w:szCs w:val="24"/>
        </w:rPr>
        <w:endnoteRef/>
      </w:r>
      <w:r w:rsidRPr="00157C03">
        <w:rPr>
          <w:sz w:val="24"/>
          <w:szCs w:val="24"/>
        </w:rPr>
        <w:t xml:space="preserve"> Christopher Michael Stone, "Reversing the Tao: A Framework for Credible Space Deterrence" (Master's thesis, Missouri State University, 2016), 7–8.</w:t>
      </w:r>
    </w:p>
  </w:endnote>
  <w:endnote w:id="144">
    <w:p w14:paraId="3358A90B" w14:textId="5E08A45A" w:rsidR="00165BDE" w:rsidRPr="00157C03" w:rsidRDefault="00165BDE">
      <w:pPr>
        <w:pStyle w:val="EndnoteText"/>
        <w:rPr>
          <w:sz w:val="24"/>
          <w:szCs w:val="24"/>
          <w:lang w:val="en-US"/>
        </w:rPr>
      </w:pPr>
      <w:r w:rsidRPr="00157C03">
        <w:rPr>
          <w:rStyle w:val="EndnoteReference"/>
          <w:sz w:val="24"/>
          <w:szCs w:val="24"/>
        </w:rPr>
        <w:endnoteRef/>
      </w:r>
      <w:r w:rsidRPr="00157C03">
        <w:rPr>
          <w:sz w:val="24"/>
          <w:szCs w:val="24"/>
        </w:rPr>
        <w:t xml:space="preserve"> Jason Lau, "Spacepower Strategy for Medium Powers: Applying Observations from the Maritime Domain" (research paper, Air Command and Staff College, 2023), 41; Department of Defence, </w:t>
      </w:r>
      <w:r w:rsidRPr="00157C03">
        <w:rPr>
          <w:i/>
          <w:iCs/>
          <w:sz w:val="24"/>
          <w:szCs w:val="24"/>
        </w:rPr>
        <w:t>White Paper on Defence</w:t>
      </w:r>
      <w:r w:rsidRPr="00157C03">
        <w:rPr>
          <w:sz w:val="24"/>
          <w:szCs w:val="24"/>
        </w:rPr>
        <w:t xml:space="preserve"> (August 2015), 23; Department of Defence and Defence Forces, </w:t>
      </w:r>
      <w:r w:rsidRPr="00157C03">
        <w:rPr>
          <w:i/>
          <w:iCs/>
          <w:sz w:val="24"/>
          <w:szCs w:val="24"/>
        </w:rPr>
        <w:t>Defence Policy Review 2024: Adjusting and affirming our Defence policy in an era of change</w:t>
      </w:r>
      <w:r w:rsidRPr="00157C03">
        <w:rPr>
          <w:sz w:val="24"/>
          <w:szCs w:val="24"/>
        </w:rPr>
        <w:t xml:space="preserve"> (Newbridge: Department of Defence, 2024), 31, 62.</w:t>
      </w:r>
    </w:p>
  </w:endnote>
  <w:endnote w:id="145">
    <w:p w14:paraId="05A23CE7" w14:textId="57CE1E57" w:rsidR="00F546D2" w:rsidRPr="00157C03" w:rsidRDefault="00F546D2">
      <w:pPr>
        <w:pStyle w:val="EndnoteText"/>
        <w:rPr>
          <w:sz w:val="24"/>
          <w:szCs w:val="24"/>
          <w:lang w:val="en-US"/>
        </w:rPr>
      </w:pPr>
      <w:r w:rsidRPr="00157C03">
        <w:rPr>
          <w:rStyle w:val="EndnoteReference"/>
          <w:sz w:val="24"/>
          <w:szCs w:val="24"/>
        </w:rPr>
        <w:endnoteRef/>
      </w:r>
      <w:r w:rsidRPr="00157C03">
        <w:rPr>
          <w:sz w:val="24"/>
          <w:szCs w:val="24"/>
        </w:rPr>
        <w:t xml:space="preserve"> Charles D. Lutes et al., eds., </w:t>
      </w:r>
      <w:r w:rsidRPr="00157C03">
        <w:rPr>
          <w:i/>
          <w:iCs/>
          <w:sz w:val="24"/>
          <w:szCs w:val="24"/>
        </w:rPr>
        <w:t>Toward a Theory of Spacepower: Selected Essays</w:t>
      </w:r>
      <w:r w:rsidRPr="00157C03">
        <w:rPr>
          <w:sz w:val="24"/>
          <w:szCs w:val="24"/>
        </w:rPr>
        <w:t xml:space="preserve"> (Washington, DC: National Defense University, 2011), chaps. 5, 26.</w:t>
      </w:r>
    </w:p>
  </w:endnote>
  <w:endnote w:id="146">
    <w:p w14:paraId="7C580271" w14:textId="0BBBF2F1" w:rsidR="00F546D2" w:rsidRPr="00157C03" w:rsidRDefault="00F546D2">
      <w:pPr>
        <w:pStyle w:val="EndnoteText"/>
        <w:rPr>
          <w:sz w:val="24"/>
          <w:szCs w:val="24"/>
          <w:lang w:val="en-US"/>
        </w:rPr>
      </w:pPr>
      <w:r w:rsidRPr="00157C03">
        <w:rPr>
          <w:rStyle w:val="EndnoteReference"/>
          <w:sz w:val="24"/>
          <w:szCs w:val="24"/>
        </w:rPr>
        <w:endnoteRef/>
      </w:r>
      <w:r w:rsidRPr="00157C03">
        <w:rPr>
          <w:sz w:val="24"/>
          <w:szCs w:val="24"/>
        </w:rPr>
        <w:t xml:space="preserve"> Patrick Bury and David Murphy, "No Time to Spare: Irish Defense and Security in 2025," </w:t>
      </w:r>
      <w:r w:rsidRPr="00157C03">
        <w:rPr>
          <w:i/>
          <w:iCs/>
          <w:sz w:val="24"/>
          <w:szCs w:val="24"/>
        </w:rPr>
        <w:t>War on the Rocks</w:t>
      </w:r>
      <w:r w:rsidRPr="00157C03">
        <w:rPr>
          <w:sz w:val="24"/>
          <w:szCs w:val="24"/>
        </w:rPr>
        <w:t xml:space="preserve">, March 17, 2025; Department of Defence and Defence Forces, </w:t>
      </w:r>
      <w:r w:rsidRPr="00157C03">
        <w:rPr>
          <w:i/>
          <w:iCs/>
          <w:sz w:val="24"/>
          <w:szCs w:val="24"/>
        </w:rPr>
        <w:t>Defence Policy Review 2024: Adjusting and affirming our Defence policy in an era of change</w:t>
      </w:r>
      <w:r w:rsidRPr="00157C03">
        <w:rPr>
          <w:sz w:val="24"/>
          <w:szCs w:val="24"/>
        </w:rPr>
        <w:t xml:space="preserve"> (Newbridge: Department of Defence, 2024), sec. 2.3.7; James E. Oberg, </w:t>
      </w:r>
      <w:r w:rsidRPr="00157C03">
        <w:rPr>
          <w:i/>
          <w:iCs/>
          <w:sz w:val="24"/>
          <w:szCs w:val="24"/>
        </w:rPr>
        <w:t>Space Power Theory</w:t>
      </w:r>
      <w:r w:rsidRPr="00157C03">
        <w:rPr>
          <w:sz w:val="24"/>
          <w:szCs w:val="24"/>
        </w:rPr>
        <w:t xml:space="preserve"> (Colorado Springs: U.S. Space Command, 2000), 120.</w:t>
      </w:r>
    </w:p>
  </w:endnote>
  <w:endnote w:id="147">
    <w:p w14:paraId="0F722E6E" w14:textId="477D89ED" w:rsidR="00F546D2" w:rsidRPr="00157C03" w:rsidRDefault="00F546D2">
      <w:pPr>
        <w:pStyle w:val="EndnoteText"/>
        <w:rPr>
          <w:sz w:val="24"/>
          <w:szCs w:val="24"/>
          <w:lang w:val="en-US"/>
        </w:rPr>
      </w:pPr>
      <w:r w:rsidRPr="00157C03">
        <w:rPr>
          <w:rStyle w:val="EndnoteReference"/>
          <w:sz w:val="24"/>
          <w:szCs w:val="24"/>
        </w:rPr>
        <w:endnoteRef/>
      </w:r>
      <w:r w:rsidRPr="00157C03">
        <w:rPr>
          <w:sz w:val="24"/>
          <w:szCs w:val="24"/>
        </w:rPr>
        <w:t xml:space="preserve"> Irish Defence Forces, </w:t>
      </w:r>
      <w:r w:rsidRPr="00157C03">
        <w:rPr>
          <w:i/>
          <w:iCs/>
          <w:sz w:val="24"/>
          <w:szCs w:val="24"/>
        </w:rPr>
        <w:t>IRLJP-01 Military Doctrine for the Irish Defence Forces</w:t>
      </w:r>
      <w:r w:rsidRPr="00157C03">
        <w:rPr>
          <w:sz w:val="24"/>
          <w:szCs w:val="24"/>
        </w:rPr>
        <w:t xml:space="preserve"> (Dublin: Defence Forces Printing Press, 2024); John J. Klein, </w:t>
      </w:r>
      <w:r w:rsidRPr="00157C03">
        <w:rPr>
          <w:i/>
          <w:iCs/>
          <w:sz w:val="24"/>
          <w:szCs w:val="24"/>
        </w:rPr>
        <w:t>Space Warfare: Strategy, Principles, and Policy</w:t>
      </w:r>
      <w:r w:rsidRPr="00157C03">
        <w:rPr>
          <w:sz w:val="24"/>
          <w:szCs w:val="24"/>
        </w:rPr>
        <w:t xml:space="preserve"> (Abingdon: Routledge, 2024), 95-96.</w:t>
      </w:r>
    </w:p>
  </w:endnote>
  <w:endnote w:id="148">
    <w:p w14:paraId="2F9263FA" w14:textId="441D03B6" w:rsidR="00F546D2" w:rsidRPr="00157C03" w:rsidRDefault="00F546D2">
      <w:pPr>
        <w:pStyle w:val="EndnoteText"/>
        <w:rPr>
          <w:sz w:val="24"/>
          <w:szCs w:val="24"/>
          <w:lang w:val="en-US"/>
        </w:rPr>
      </w:pPr>
      <w:r w:rsidRPr="00157C03">
        <w:rPr>
          <w:rStyle w:val="EndnoteReference"/>
          <w:sz w:val="24"/>
          <w:szCs w:val="24"/>
        </w:rPr>
        <w:endnoteRef/>
      </w:r>
      <w:r w:rsidRPr="00157C03">
        <w:rPr>
          <w:sz w:val="24"/>
          <w:szCs w:val="24"/>
        </w:rPr>
        <w:t xml:space="preserve"> John J. Klein, </w:t>
      </w:r>
      <w:r w:rsidRPr="00157C03">
        <w:rPr>
          <w:i/>
          <w:iCs/>
          <w:sz w:val="24"/>
          <w:szCs w:val="24"/>
        </w:rPr>
        <w:t>Space Warfare: Strategy, Principles, and Policy</w:t>
      </w:r>
      <w:r w:rsidRPr="00157C03">
        <w:rPr>
          <w:sz w:val="24"/>
          <w:szCs w:val="24"/>
        </w:rPr>
        <w:t xml:space="preserve"> (Abingdon: Routledge, 2024); Council of the European Union, </w:t>
      </w:r>
      <w:r w:rsidRPr="00157C03">
        <w:rPr>
          <w:i/>
          <w:iCs/>
          <w:sz w:val="24"/>
          <w:szCs w:val="24"/>
        </w:rPr>
        <w:t>Council Conclusions on the EU Space Strategy for Security and Defence</w:t>
      </w:r>
      <w:r w:rsidRPr="00157C03">
        <w:rPr>
          <w:sz w:val="24"/>
          <w:szCs w:val="24"/>
        </w:rPr>
        <w:t xml:space="preserve"> (ST-14512-2023-INIT, November 2023), 278.</w:t>
      </w:r>
    </w:p>
  </w:endnote>
  <w:endnote w:id="149">
    <w:p w14:paraId="36D99179" w14:textId="6FF3F9D0" w:rsidR="007231A7" w:rsidRPr="00157C03" w:rsidRDefault="007231A7">
      <w:pPr>
        <w:pStyle w:val="EndnoteText"/>
        <w:rPr>
          <w:sz w:val="24"/>
          <w:szCs w:val="24"/>
          <w:lang w:val="en-US"/>
        </w:rPr>
      </w:pPr>
      <w:r w:rsidRPr="00157C03">
        <w:rPr>
          <w:rStyle w:val="EndnoteReference"/>
          <w:sz w:val="24"/>
          <w:szCs w:val="24"/>
        </w:rPr>
        <w:endnoteRef/>
      </w:r>
      <w:r w:rsidRPr="00157C03">
        <w:rPr>
          <w:sz w:val="24"/>
          <w:szCs w:val="24"/>
        </w:rPr>
        <w:t xml:space="preserve"> Christopher Michael Stone, "Reversing the Tao: A Framework for Credible Space Deterrence" (Master's thesis, Missouri State University, 2016), 61; James Clay Moltz, </w:t>
      </w:r>
      <w:r w:rsidRPr="00157C03">
        <w:rPr>
          <w:i/>
          <w:iCs/>
          <w:sz w:val="24"/>
          <w:szCs w:val="24"/>
        </w:rPr>
        <w:t>The Politics of Space Security</w:t>
      </w:r>
      <w:r w:rsidRPr="00157C03">
        <w:rPr>
          <w:sz w:val="24"/>
          <w:szCs w:val="24"/>
        </w:rPr>
        <w:t xml:space="preserve"> (Stanford, CA: Stanford University Press, 2008), 169.</w:t>
      </w:r>
    </w:p>
  </w:endnote>
  <w:endnote w:id="150">
    <w:p w14:paraId="39E3FD40" w14:textId="05ADB3A7" w:rsidR="007231A7" w:rsidRPr="00157C03" w:rsidRDefault="007231A7">
      <w:pPr>
        <w:pStyle w:val="EndnoteText"/>
        <w:rPr>
          <w:sz w:val="24"/>
          <w:szCs w:val="24"/>
          <w:lang w:val="en-US"/>
        </w:rPr>
      </w:pPr>
      <w:r w:rsidRPr="00157C03">
        <w:rPr>
          <w:rStyle w:val="EndnoteReference"/>
          <w:sz w:val="24"/>
          <w:szCs w:val="24"/>
        </w:rPr>
        <w:endnoteRef/>
      </w:r>
      <w:r w:rsidRPr="00157C03">
        <w:rPr>
          <w:sz w:val="24"/>
          <w:szCs w:val="24"/>
        </w:rPr>
        <w:t xml:space="preserve"> John J. Klein, </w:t>
      </w:r>
      <w:r w:rsidRPr="00157C03">
        <w:rPr>
          <w:i/>
          <w:iCs/>
          <w:sz w:val="24"/>
          <w:szCs w:val="24"/>
        </w:rPr>
        <w:t>Space Warfare: Strategy, Principles, and Policy</w:t>
      </w:r>
      <w:r w:rsidRPr="00157C03">
        <w:rPr>
          <w:sz w:val="24"/>
          <w:szCs w:val="24"/>
        </w:rPr>
        <w:t xml:space="preserve">, 2nd ed. (Abingdon: Routledge, 2024), 191-192; Andrew Radin et al., </w:t>
      </w:r>
      <w:r w:rsidRPr="00157C03">
        <w:rPr>
          <w:i/>
          <w:iCs/>
          <w:sz w:val="24"/>
          <w:szCs w:val="24"/>
        </w:rPr>
        <w:t>Lessons from the War in Ukraine for Space: Challenges and Opportunities for Future Conflicts</w:t>
      </w:r>
      <w:r w:rsidRPr="00157C03">
        <w:rPr>
          <w:sz w:val="24"/>
          <w:szCs w:val="24"/>
        </w:rPr>
        <w:t xml:space="preserve"> (Santa Monica, CA: RAND Corporation, 2024), 14, 18; James E. Oberg, </w:t>
      </w:r>
      <w:r w:rsidRPr="00157C03">
        <w:rPr>
          <w:i/>
          <w:iCs/>
          <w:sz w:val="24"/>
          <w:szCs w:val="24"/>
        </w:rPr>
        <w:t>Space Power Theory</w:t>
      </w:r>
      <w:r w:rsidRPr="00157C03">
        <w:rPr>
          <w:sz w:val="24"/>
          <w:szCs w:val="24"/>
        </w:rPr>
        <w:t xml:space="preserve"> (Colorado Springs: U.S. Space Command, 2000), 75</w:t>
      </w:r>
    </w:p>
  </w:endnote>
  <w:endnote w:id="151">
    <w:p w14:paraId="56ADBB4B" w14:textId="25F02E36" w:rsidR="007231A7" w:rsidRPr="00157C03" w:rsidRDefault="007231A7">
      <w:pPr>
        <w:pStyle w:val="EndnoteText"/>
        <w:rPr>
          <w:sz w:val="24"/>
          <w:szCs w:val="24"/>
          <w:lang w:val="en-US"/>
        </w:rPr>
      </w:pPr>
      <w:r w:rsidRPr="00157C03">
        <w:rPr>
          <w:rStyle w:val="EndnoteReference"/>
          <w:sz w:val="24"/>
          <w:szCs w:val="24"/>
        </w:rPr>
        <w:endnoteRef/>
      </w:r>
      <w:r w:rsidRPr="00157C03">
        <w:rPr>
          <w:sz w:val="24"/>
          <w:szCs w:val="24"/>
        </w:rPr>
        <w:t xml:space="preserve"> Department of Defence, </w:t>
      </w:r>
      <w:r w:rsidRPr="00157C03">
        <w:rPr>
          <w:i/>
          <w:iCs/>
          <w:sz w:val="24"/>
          <w:szCs w:val="24"/>
        </w:rPr>
        <w:t>White Paper on Defence</w:t>
      </w:r>
      <w:r w:rsidRPr="00157C03">
        <w:rPr>
          <w:sz w:val="24"/>
          <w:szCs w:val="24"/>
        </w:rPr>
        <w:t xml:space="preserve"> (August 2015), 23; James E. Oberg, </w:t>
      </w:r>
      <w:r w:rsidRPr="00157C03">
        <w:rPr>
          <w:i/>
          <w:iCs/>
          <w:sz w:val="24"/>
          <w:szCs w:val="24"/>
        </w:rPr>
        <w:t>Space Power Theory</w:t>
      </w:r>
      <w:r w:rsidRPr="00157C03">
        <w:rPr>
          <w:sz w:val="24"/>
          <w:szCs w:val="24"/>
        </w:rPr>
        <w:t xml:space="preserve"> (Colorado Springs: U.S. Space Command, 2000), 134; John J. Klein, </w:t>
      </w:r>
      <w:r w:rsidRPr="00157C03">
        <w:rPr>
          <w:i/>
          <w:iCs/>
          <w:sz w:val="24"/>
          <w:szCs w:val="24"/>
        </w:rPr>
        <w:t>Space Warfare: Strategy, Principles, and Policy</w:t>
      </w:r>
      <w:r w:rsidRPr="00157C03">
        <w:rPr>
          <w:sz w:val="24"/>
          <w:szCs w:val="24"/>
        </w:rPr>
        <w:t xml:space="preserve">, 2nd ed. (Abingdon: Routledge, 2024), 275–76; Council of the European Union, </w:t>
      </w:r>
      <w:r w:rsidRPr="00157C03">
        <w:rPr>
          <w:i/>
          <w:iCs/>
          <w:sz w:val="24"/>
          <w:szCs w:val="24"/>
        </w:rPr>
        <w:t>European Union Space Strategy for Security and Defence</w:t>
      </w:r>
      <w:r w:rsidRPr="00157C03">
        <w:rPr>
          <w:sz w:val="24"/>
          <w:szCs w:val="24"/>
        </w:rPr>
        <w:t xml:space="preserve"> (ST-7315-2023-INIT, March 2023), 12; Michael J. Mazarr, </w:t>
      </w:r>
      <w:r w:rsidRPr="00157C03">
        <w:rPr>
          <w:i/>
          <w:iCs/>
          <w:sz w:val="24"/>
          <w:szCs w:val="24"/>
        </w:rPr>
        <w:t>Understanding Deterrence</w:t>
      </w:r>
      <w:r w:rsidRPr="00157C03">
        <w:rPr>
          <w:sz w:val="24"/>
          <w:szCs w:val="24"/>
        </w:rPr>
        <w:t xml:space="preserve"> (Santa Monica, CA: RAND Corporation, 2018), 4; Jason Lau, "Spacepower Strategy for Medium Powers: Applying Observations from the Maritime Domain" (research paper, Air Command and Staff College, 2023), 45–46; Christopher Michael Stone, "Reversing the Tao: A Framework for Credible Space Deterrence" (Master's thesis, Missouri State University, 2015), 7; Netherlands Ministry of Defence, </w:t>
      </w:r>
      <w:r w:rsidRPr="00157C03">
        <w:rPr>
          <w:i/>
          <w:iCs/>
          <w:sz w:val="24"/>
          <w:szCs w:val="24"/>
        </w:rPr>
        <w:t>Defence Space Agenda</w:t>
      </w:r>
      <w:r w:rsidRPr="00157C03">
        <w:rPr>
          <w:sz w:val="24"/>
          <w:szCs w:val="24"/>
        </w:rPr>
        <w:t xml:space="preserve"> (November 2022), 15–16.</w:t>
      </w:r>
    </w:p>
  </w:endnote>
  <w:endnote w:id="152">
    <w:p w14:paraId="29309447" w14:textId="6C6CF634" w:rsidR="007231A7" w:rsidRPr="00157C03" w:rsidRDefault="007231A7">
      <w:pPr>
        <w:pStyle w:val="EndnoteText"/>
        <w:rPr>
          <w:sz w:val="24"/>
          <w:szCs w:val="24"/>
          <w:lang w:val="en-US"/>
        </w:rPr>
      </w:pPr>
      <w:r w:rsidRPr="00157C03">
        <w:rPr>
          <w:rStyle w:val="EndnoteReference"/>
          <w:sz w:val="24"/>
          <w:szCs w:val="24"/>
        </w:rPr>
        <w:endnoteRef/>
      </w:r>
      <w:r w:rsidRPr="00157C03">
        <w:rPr>
          <w:sz w:val="24"/>
          <w:szCs w:val="24"/>
        </w:rPr>
        <w:t xml:space="preserve"> John J. Klein, </w:t>
      </w:r>
      <w:r w:rsidRPr="00157C03">
        <w:rPr>
          <w:i/>
          <w:iCs/>
          <w:sz w:val="24"/>
          <w:szCs w:val="24"/>
        </w:rPr>
        <w:t>Space Warfare: Strategy, Principles, and Policy</w:t>
      </w:r>
      <w:r w:rsidRPr="00157C03">
        <w:rPr>
          <w:sz w:val="24"/>
          <w:szCs w:val="24"/>
        </w:rPr>
        <w:t xml:space="preserve">, 2nd ed. (Abingdon: Routledge, 2024), 224-225; Namrata Goswami and Peter A. Garretson, </w:t>
      </w:r>
      <w:r w:rsidRPr="00157C03">
        <w:rPr>
          <w:i/>
          <w:iCs/>
          <w:sz w:val="24"/>
          <w:szCs w:val="24"/>
        </w:rPr>
        <w:t>Scramble for the Skies: The Great Power Competition to Control the Resources of Outer Space</w:t>
      </w:r>
      <w:r w:rsidRPr="00157C03">
        <w:rPr>
          <w:sz w:val="24"/>
          <w:szCs w:val="24"/>
        </w:rPr>
        <w:t xml:space="preserve"> (Lanham: Lexington Books, 2020), 293; Jason Lau, "Spacepower Strategy for Medium Powers: Applying Observations from the Maritime Domain" (research paper, Air Command and Staff College, 2023), 44.</w:t>
      </w:r>
    </w:p>
  </w:endnote>
  <w:endnote w:id="153">
    <w:p w14:paraId="54D5B73C" w14:textId="554AE8C8" w:rsidR="002D35AE" w:rsidRPr="00157C03" w:rsidRDefault="002D35AE">
      <w:pPr>
        <w:pStyle w:val="EndnoteText"/>
        <w:rPr>
          <w:sz w:val="24"/>
          <w:szCs w:val="24"/>
          <w:lang w:val="en-US"/>
        </w:rPr>
      </w:pPr>
      <w:r w:rsidRPr="00157C03">
        <w:rPr>
          <w:rStyle w:val="EndnoteReference"/>
          <w:sz w:val="24"/>
          <w:szCs w:val="24"/>
        </w:rPr>
        <w:endnoteRef/>
      </w:r>
      <w:r w:rsidRPr="00157C03">
        <w:rPr>
          <w:sz w:val="24"/>
          <w:szCs w:val="24"/>
        </w:rPr>
        <w:t xml:space="preserve"> Department of Defence and Defence Forces, </w:t>
      </w:r>
      <w:r w:rsidRPr="00157C03">
        <w:rPr>
          <w:i/>
          <w:iCs/>
          <w:sz w:val="24"/>
          <w:szCs w:val="24"/>
        </w:rPr>
        <w:t>Defence Policy Review 2024: Adjusting and affirming our Defence policy in an era of change</w:t>
      </w:r>
      <w:r w:rsidRPr="00157C03">
        <w:rPr>
          <w:sz w:val="24"/>
          <w:szCs w:val="24"/>
        </w:rPr>
        <w:t xml:space="preserve"> (Newbridge: Department of Defence, 2024); Irish Defence Forces, </w:t>
      </w:r>
      <w:r w:rsidRPr="00157C03">
        <w:rPr>
          <w:i/>
          <w:iCs/>
          <w:sz w:val="24"/>
          <w:szCs w:val="24"/>
        </w:rPr>
        <w:t>IRLJP-01 Military Doctrine for the Irish Defence Forces</w:t>
      </w:r>
      <w:r w:rsidRPr="00157C03">
        <w:rPr>
          <w:sz w:val="24"/>
          <w:szCs w:val="24"/>
        </w:rPr>
        <w:t xml:space="preserve"> (Dublin: Defence Forces Printing Press, 2024); Commission on the Defence Forces, </w:t>
      </w:r>
      <w:r w:rsidRPr="00157C03">
        <w:rPr>
          <w:i/>
          <w:iCs/>
          <w:sz w:val="24"/>
          <w:szCs w:val="24"/>
        </w:rPr>
        <w:t>Report of the Commission on the Defence Forces</w:t>
      </w:r>
      <w:r w:rsidRPr="00157C03">
        <w:rPr>
          <w:sz w:val="24"/>
          <w:szCs w:val="24"/>
        </w:rPr>
        <w:t xml:space="preserve"> (February 2022).</w:t>
      </w:r>
    </w:p>
  </w:endnote>
  <w:endnote w:id="154">
    <w:p w14:paraId="0BB9B0F2" w14:textId="793A7F8A" w:rsidR="002D35AE" w:rsidRPr="00157C03" w:rsidRDefault="002D35AE">
      <w:pPr>
        <w:pStyle w:val="EndnoteText"/>
        <w:rPr>
          <w:sz w:val="24"/>
          <w:szCs w:val="24"/>
          <w:lang w:val="en-US"/>
        </w:rPr>
      </w:pPr>
      <w:r w:rsidRPr="00157C03">
        <w:rPr>
          <w:rStyle w:val="EndnoteReference"/>
          <w:sz w:val="24"/>
          <w:szCs w:val="24"/>
        </w:rPr>
        <w:endnoteRef/>
      </w:r>
      <w:r w:rsidRPr="00157C03">
        <w:rPr>
          <w:sz w:val="24"/>
          <w:szCs w:val="24"/>
        </w:rPr>
        <w:t xml:space="preserve"> Commission on the Defence Forces, </w:t>
      </w:r>
      <w:r w:rsidRPr="00157C03">
        <w:rPr>
          <w:i/>
          <w:iCs/>
          <w:sz w:val="24"/>
          <w:szCs w:val="24"/>
        </w:rPr>
        <w:t>Report of the Commission on the Defence Forces</w:t>
      </w:r>
      <w:r w:rsidRPr="00157C03">
        <w:rPr>
          <w:sz w:val="24"/>
          <w:szCs w:val="24"/>
        </w:rPr>
        <w:t xml:space="preserve"> (February 2022), 8; Department of Defence and Defence Forces, </w:t>
      </w:r>
      <w:r w:rsidRPr="00157C03">
        <w:rPr>
          <w:i/>
          <w:iCs/>
          <w:sz w:val="24"/>
          <w:szCs w:val="24"/>
        </w:rPr>
        <w:t>Defence Policy Review 2024</w:t>
      </w:r>
      <w:r w:rsidRPr="00157C03">
        <w:rPr>
          <w:sz w:val="24"/>
          <w:szCs w:val="24"/>
        </w:rPr>
        <w:t>.</w:t>
      </w:r>
    </w:p>
  </w:endnote>
  <w:endnote w:id="155">
    <w:p w14:paraId="67CED9C8" w14:textId="133BE22E" w:rsidR="002D35AE" w:rsidRPr="00157C03" w:rsidRDefault="002D35AE">
      <w:pPr>
        <w:pStyle w:val="EndnoteText"/>
        <w:rPr>
          <w:sz w:val="24"/>
          <w:szCs w:val="24"/>
          <w:lang w:val="en-US"/>
        </w:rPr>
      </w:pPr>
      <w:r w:rsidRPr="00157C03">
        <w:rPr>
          <w:rStyle w:val="EndnoteReference"/>
          <w:sz w:val="24"/>
          <w:szCs w:val="24"/>
        </w:rPr>
        <w:endnoteRef/>
      </w:r>
      <w:r w:rsidRPr="00157C03">
        <w:rPr>
          <w:sz w:val="24"/>
          <w:szCs w:val="24"/>
        </w:rPr>
        <w:t xml:space="preserve"> Netherlands Ministry of Defence, </w:t>
      </w:r>
      <w:r w:rsidRPr="00157C03">
        <w:rPr>
          <w:i/>
          <w:iCs/>
          <w:sz w:val="24"/>
          <w:szCs w:val="24"/>
        </w:rPr>
        <w:t>Defence Space Agenda</w:t>
      </w:r>
      <w:r w:rsidRPr="00157C03">
        <w:rPr>
          <w:sz w:val="24"/>
          <w:szCs w:val="24"/>
        </w:rPr>
        <w:t xml:space="preserve"> (November 2022); Jason Lau, "Spacepower Strategy for Medium Powers: Applying Observations from the Maritime Domain" (research paper, Air Command and Staff College, 2023), 38, 44; John J. Klein, </w:t>
      </w:r>
      <w:r w:rsidRPr="00157C03">
        <w:rPr>
          <w:i/>
          <w:iCs/>
          <w:sz w:val="24"/>
          <w:szCs w:val="24"/>
        </w:rPr>
        <w:t>Space Warfare: Strategy, Principles, and Policy</w:t>
      </w:r>
      <w:r w:rsidRPr="00157C03">
        <w:rPr>
          <w:sz w:val="24"/>
          <w:szCs w:val="24"/>
        </w:rPr>
        <w:t>, 2nd ed. (Abingdon: Routledge, 2024), 218.</w:t>
      </w:r>
    </w:p>
  </w:endnote>
  <w:endnote w:id="156">
    <w:p w14:paraId="4440D02F" w14:textId="392575E2" w:rsidR="002D35AE" w:rsidRPr="00157C03" w:rsidRDefault="002D35AE">
      <w:pPr>
        <w:pStyle w:val="EndnoteText"/>
        <w:rPr>
          <w:sz w:val="24"/>
          <w:szCs w:val="24"/>
          <w:lang w:val="en-US"/>
        </w:rPr>
      </w:pPr>
      <w:r w:rsidRPr="00157C03">
        <w:rPr>
          <w:rStyle w:val="EndnoteReference"/>
          <w:sz w:val="24"/>
          <w:szCs w:val="24"/>
        </w:rPr>
        <w:endnoteRef/>
      </w:r>
      <w:r w:rsidRPr="00157C03">
        <w:rPr>
          <w:sz w:val="24"/>
          <w:szCs w:val="24"/>
        </w:rPr>
        <w:t xml:space="preserve"> Department of Defence and Defence Forces, </w:t>
      </w:r>
      <w:r w:rsidRPr="00157C03">
        <w:rPr>
          <w:i/>
          <w:iCs/>
          <w:sz w:val="24"/>
          <w:szCs w:val="24"/>
        </w:rPr>
        <w:t>Defence Policy Review 2024: Adjusting and affirming our Defence policy in an era of change</w:t>
      </w:r>
      <w:r w:rsidRPr="00157C03">
        <w:rPr>
          <w:sz w:val="24"/>
          <w:szCs w:val="24"/>
        </w:rPr>
        <w:t xml:space="preserve"> (Newbridge: Department of Defence, 2024), sec. 1.2, 2.3.7; Irish Defence Forces, </w:t>
      </w:r>
      <w:r w:rsidRPr="00157C03">
        <w:rPr>
          <w:i/>
          <w:iCs/>
          <w:sz w:val="24"/>
          <w:szCs w:val="24"/>
        </w:rPr>
        <w:t>IRLJP-01 Military Doctrine for the Irish Defence Forces</w:t>
      </w:r>
      <w:r w:rsidRPr="00157C03">
        <w:rPr>
          <w:sz w:val="24"/>
          <w:szCs w:val="24"/>
        </w:rPr>
        <w:t xml:space="preserve"> (Dublin: Defence Forces Printing Press, 2024), sec. 1.18, 2.22; Charles D. Lutes et al., eds., </w:t>
      </w:r>
      <w:r w:rsidRPr="00157C03">
        <w:rPr>
          <w:i/>
          <w:iCs/>
          <w:sz w:val="24"/>
          <w:szCs w:val="24"/>
        </w:rPr>
        <w:t>Toward a Theory of Spacepower: Selected Essays</w:t>
      </w:r>
      <w:r w:rsidRPr="00157C03">
        <w:rPr>
          <w:sz w:val="24"/>
          <w:szCs w:val="24"/>
        </w:rPr>
        <w:t xml:space="preserve"> (Washington, DC: National Defense University, 2011), chap. 5</w:t>
      </w:r>
    </w:p>
  </w:endnote>
  <w:endnote w:id="157">
    <w:p w14:paraId="2E7EFA3D" w14:textId="7C60F3A2" w:rsidR="002D35AE" w:rsidRPr="00157C03" w:rsidRDefault="002D35AE">
      <w:pPr>
        <w:pStyle w:val="EndnoteText"/>
        <w:rPr>
          <w:sz w:val="24"/>
          <w:szCs w:val="24"/>
          <w:lang w:val="en-US"/>
        </w:rPr>
      </w:pPr>
      <w:r w:rsidRPr="00157C03">
        <w:rPr>
          <w:rStyle w:val="EndnoteReference"/>
          <w:sz w:val="24"/>
          <w:szCs w:val="24"/>
        </w:rPr>
        <w:endnoteRef/>
      </w:r>
      <w:r w:rsidRPr="00157C03">
        <w:rPr>
          <w:sz w:val="24"/>
          <w:szCs w:val="24"/>
        </w:rPr>
        <w:t xml:space="preserve"> Department of Defence and Defence Forces, </w:t>
      </w:r>
      <w:r w:rsidRPr="00157C03">
        <w:rPr>
          <w:i/>
          <w:iCs/>
          <w:sz w:val="24"/>
          <w:szCs w:val="24"/>
        </w:rPr>
        <w:t>Defence Policy Review 2024</w:t>
      </w:r>
      <w:r w:rsidRPr="00157C03">
        <w:rPr>
          <w:sz w:val="24"/>
          <w:szCs w:val="24"/>
        </w:rPr>
        <w:t xml:space="preserve">, Foreword, sec. 3.2.1.1; Patrick Bury and David Murphy, "No Time to Spare: Irish Defense and Security in 2025," </w:t>
      </w:r>
      <w:r w:rsidRPr="00157C03">
        <w:rPr>
          <w:i/>
          <w:iCs/>
          <w:sz w:val="24"/>
          <w:szCs w:val="24"/>
        </w:rPr>
        <w:t>War on the Rocks</w:t>
      </w:r>
      <w:r w:rsidRPr="00157C03">
        <w:rPr>
          <w:sz w:val="24"/>
          <w:szCs w:val="24"/>
        </w:rPr>
        <w:t>, March 17, 2025.</w:t>
      </w:r>
    </w:p>
  </w:endnote>
  <w:endnote w:id="158">
    <w:p w14:paraId="3464EFA6" w14:textId="0CBACAFD" w:rsidR="002D35AE" w:rsidRPr="00157C03" w:rsidRDefault="002D35AE">
      <w:pPr>
        <w:pStyle w:val="EndnoteText"/>
        <w:rPr>
          <w:sz w:val="24"/>
          <w:szCs w:val="24"/>
          <w:lang w:val="en-US"/>
        </w:rPr>
      </w:pPr>
      <w:r w:rsidRPr="00157C03">
        <w:rPr>
          <w:rStyle w:val="EndnoteReference"/>
          <w:sz w:val="24"/>
          <w:szCs w:val="24"/>
        </w:rPr>
        <w:endnoteRef/>
      </w:r>
      <w:r w:rsidRPr="00157C03">
        <w:rPr>
          <w:sz w:val="24"/>
          <w:szCs w:val="24"/>
        </w:rPr>
        <w:t xml:space="preserve"> Department of Defence and Defence Forces, </w:t>
      </w:r>
      <w:r w:rsidRPr="00157C03">
        <w:rPr>
          <w:i/>
          <w:iCs/>
          <w:sz w:val="24"/>
          <w:szCs w:val="24"/>
        </w:rPr>
        <w:t>Defence Policy Review 2024</w:t>
      </w:r>
      <w:r w:rsidRPr="00157C03">
        <w:rPr>
          <w:sz w:val="24"/>
          <w:szCs w:val="24"/>
        </w:rPr>
        <w:t xml:space="preserve">, sec. 3.3.5; Netherlands Ministry of Defence, </w:t>
      </w:r>
      <w:r w:rsidRPr="00157C03">
        <w:rPr>
          <w:i/>
          <w:iCs/>
          <w:sz w:val="24"/>
          <w:szCs w:val="24"/>
        </w:rPr>
        <w:t>Defence Space Agenda</w:t>
      </w:r>
      <w:r w:rsidRPr="00157C03">
        <w:rPr>
          <w:sz w:val="24"/>
          <w:szCs w:val="24"/>
        </w:rPr>
        <w:t xml:space="preserve"> (November 2022); Jason Lau, "Spacepower Strategy for Medium Powers: Applying Observations from the Maritime Domain" (research paper, Air Command and Staff College, 2023), 44; John J. Klein, </w:t>
      </w:r>
      <w:r w:rsidRPr="00157C03">
        <w:rPr>
          <w:i/>
          <w:iCs/>
          <w:sz w:val="24"/>
          <w:szCs w:val="24"/>
        </w:rPr>
        <w:t>Space Warfare: Strategy, Principles, and Policy</w:t>
      </w:r>
      <w:r w:rsidRPr="00157C03">
        <w:rPr>
          <w:sz w:val="24"/>
          <w:szCs w:val="24"/>
        </w:rPr>
        <w:t>, 2nd ed. (Abingdon: Routledge, 2024), 224-225.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4378"/>
      <w:docPartObj>
        <w:docPartGallery w:val="Page Numbers (Bottom of Page)"/>
        <w:docPartUnique/>
      </w:docPartObj>
    </w:sdtPr>
    <w:sdtContent>
      <w:p w14:paraId="5F3B3AA4" w14:textId="4BAEB81C" w:rsidR="00EF1F06" w:rsidRPr="000E0C5F" w:rsidRDefault="00EF1F06">
        <w:pPr>
          <w:pStyle w:val="Footer"/>
          <w:jc w:val="center"/>
        </w:pPr>
        <w:r w:rsidRPr="000E0C5F">
          <w:fldChar w:fldCharType="begin"/>
        </w:r>
        <w:r w:rsidRPr="000E0C5F">
          <w:instrText xml:space="preserve"> PAGE   \* MERGEFORMAT </w:instrText>
        </w:r>
        <w:r w:rsidRPr="000E0C5F">
          <w:fldChar w:fldCharType="separate"/>
        </w:r>
        <w:r w:rsidRPr="000E0C5F">
          <w:t>2</w:t>
        </w:r>
        <w:r w:rsidRPr="000E0C5F">
          <w:fldChar w:fldCharType="end"/>
        </w:r>
      </w:p>
    </w:sdtContent>
  </w:sdt>
  <w:p w14:paraId="0BC7A8B8" w14:textId="77777777" w:rsidR="00EF1F06" w:rsidRPr="000E0C5F" w:rsidRDefault="00EF1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303670"/>
      <w:docPartObj>
        <w:docPartGallery w:val="Page Numbers (Bottom of Page)"/>
        <w:docPartUnique/>
      </w:docPartObj>
    </w:sdtPr>
    <w:sdtContent>
      <w:p w14:paraId="403C87E0" w14:textId="340E0FCC" w:rsidR="002E54E8" w:rsidRPr="000E0C5F" w:rsidRDefault="002E54E8">
        <w:pPr>
          <w:pStyle w:val="Footer"/>
          <w:jc w:val="center"/>
        </w:pPr>
        <w:r w:rsidRPr="000E0C5F">
          <w:fldChar w:fldCharType="begin"/>
        </w:r>
        <w:r w:rsidRPr="000E0C5F">
          <w:instrText xml:space="preserve"> PAGE   \* MERGEFORMAT </w:instrText>
        </w:r>
        <w:r w:rsidRPr="000E0C5F">
          <w:fldChar w:fldCharType="separate"/>
        </w:r>
        <w:r w:rsidRPr="000E0C5F">
          <w:t>2</w:t>
        </w:r>
        <w:r w:rsidRPr="000E0C5F">
          <w:fldChar w:fldCharType="end"/>
        </w:r>
      </w:p>
    </w:sdtContent>
  </w:sdt>
  <w:p w14:paraId="2B178455" w14:textId="77777777" w:rsidR="002E54E8" w:rsidRPr="000E0C5F" w:rsidRDefault="002E5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DD51" w14:textId="77777777" w:rsidR="00597A0A" w:rsidRPr="000E0C5F" w:rsidRDefault="00597A0A" w:rsidP="00157008">
      <w:pPr>
        <w:spacing w:line="240" w:lineRule="auto"/>
      </w:pPr>
      <w:r w:rsidRPr="000E0C5F">
        <w:separator/>
      </w:r>
    </w:p>
  </w:footnote>
  <w:footnote w:type="continuationSeparator" w:id="0">
    <w:p w14:paraId="1ACE8512" w14:textId="77777777" w:rsidR="00597A0A" w:rsidRPr="000E0C5F" w:rsidRDefault="00597A0A" w:rsidP="00157008">
      <w:pPr>
        <w:spacing w:line="240" w:lineRule="auto"/>
      </w:pPr>
      <w:r w:rsidRPr="000E0C5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3BCD"/>
    <w:multiLevelType w:val="multilevel"/>
    <w:tmpl w:val="116CD542"/>
    <w:lvl w:ilvl="0">
      <w:start w:val="1"/>
      <w:numFmt w:val="decimal"/>
      <w:lvlText w:val="%1."/>
      <w:lvlJc w:val="left"/>
      <w:pPr>
        <w:ind w:left="360" w:hanging="360"/>
      </w:pPr>
      <w:rPr>
        <w:rFonts w:hint="default"/>
        <w:b w:val="0"/>
        <w:bCs w:val="0"/>
      </w:rPr>
    </w:lvl>
    <w:lvl w:ilvl="1">
      <w:start w:val="1"/>
      <w:numFmt w:val="decimal"/>
      <w:lvlText w:val="%1.%2."/>
      <w:lvlJc w:val="left"/>
      <w:pPr>
        <w:ind w:left="432" w:hanging="432"/>
      </w:pPr>
      <w:rPr>
        <w:rFonts w:hint="default"/>
        <w:b w:val="0"/>
        <w:bCs w:val="0"/>
      </w:rPr>
    </w:lvl>
    <w:lvl w:ilvl="2">
      <w:start w:val="1"/>
      <w:numFmt w:val="decimal"/>
      <w:lvlText w:val="%1.%2.%3."/>
      <w:lvlJc w:val="left"/>
      <w:pPr>
        <w:ind w:left="504" w:hanging="504"/>
      </w:pPr>
      <w:rPr>
        <w:rFonts w:hint="default"/>
        <w:b w:val="0"/>
        <w:bCs w:val="0"/>
      </w:rPr>
    </w:lvl>
    <w:lvl w:ilvl="3">
      <w:start w:val="1"/>
      <w:numFmt w:val="decimal"/>
      <w:suff w:val="space"/>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BA712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DE2E37"/>
    <w:multiLevelType w:val="multilevel"/>
    <w:tmpl w:val="53EC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D4111E"/>
    <w:multiLevelType w:val="hybridMultilevel"/>
    <w:tmpl w:val="EE561EA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977301178">
    <w:abstractNumId w:val="0"/>
  </w:num>
  <w:num w:numId="2" w16cid:durableId="2088309176">
    <w:abstractNumId w:val="3"/>
  </w:num>
  <w:num w:numId="3" w16cid:durableId="1448159779">
    <w:abstractNumId w:val="1"/>
  </w:num>
  <w:num w:numId="4" w16cid:durableId="10593270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4E"/>
    <w:rsid w:val="0000138C"/>
    <w:rsid w:val="0000202B"/>
    <w:rsid w:val="00002732"/>
    <w:rsid w:val="000045FC"/>
    <w:rsid w:val="00012C9F"/>
    <w:rsid w:val="000204F2"/>
    <w:rsid w:val="0002153A"/>
    <w:rsid w:val="00025814"/>
    <w:rsid w:val="00025C14"/>
    <w:rsid w:val="0004556C"/>
    <w:rsid w:val="000674A1"/>
    <w:rsid w:val="00080016"/>
    <w:rsid w:val="00081B23"/>
    <w:rsid w:val="00092896"/>
    <w:rsid w:val="00096715"/>
    <w:rsid w:val="000A27FB"/>
    <w:rsid w:val="000A5C7C"/>
    <w:rsid w:val="000B1655"/>
    <w:rsid w:val="000B3661"/>
    <w:rsid w:val="000B5A3B"/>
    <w:rsid w:val="000B74D7"/>
    <w:rsid w:val="000E017E"/>
    <w:rsid w:val="000E09AA"/>
    <w:rsid w:val="000E0C5F"/>
    <w:rsid w:val="000F0EEF"/>
    <w:rsid w:val="000F2835"/>
    <w:rsid w:val="000F3455"/>
    <w:rsid w:val="000F5F6B"/>
    <w:rsid w:val="0010060C"/>
    <w:rsid w:val="00104355"/>
    <w:rsid w:val="00107200"/>
    <w:rsid w:val="001161E5"/>
    <w:rsid w:val="001172B9"/>
    <w:rsid w:val="00117F94"/>
    <w:rsid w:val="001241B4"/>
    <w:rsid w:val="00125A74"/>
    <w:rsid w:val="00132CBD"/>
    <w:rsid w:val="001369D3"/>
    <w:rsid w:val="00136CD6"/>
    <w:rsid w:val="00140606"/>
    <w:rsid w:val="001434F6"/>
    <w:rsid w:val="0014444D"/>
    <w:rsid w:val="00145889"/>
    <w:rsid w:val="0015293B"/>
    <w:rsid w:val="00156BCD"/>
    <w:rsid w:val="00157008"/>
    <w:rsid w:val="00157C03"/>
    <w:rsid w:val="001610F2"/>
    <w:rsid w:val="00164327"/>
    <w:rsid w:val="0016442F"/>
    <w:rsid w:val="00165BDE"/>
    <w:rsid w:val="00175CA0"/>
    <w:rsid w:val="00195F2D"/>
    <w:rsid w:val="001B00D5"/>
    <w:rsid w:val="001B037F"/>
    <w:rsid w:val="001B43B4"/>
    <w:rsid w:val="001C0AC7"/>
    <w:rsid w:val="001C139A"/>
    <w:rsid w:val="001C41A9"/>
    <w:rsid w:val="001D0670"/>
    <w:rsid w:val="001E7742"/>
    <w:rsid w:val="001E7FC0"/>
    <w:rsid w:val="001F6C89"/>
    <w:rsid w:val="00202890"/>
    <w:rsid w:val="0020596C"/>
    <w:rsid w:val="002066D2"/>
    <w:rsid w:val="00207F7A"/>
    <w:rsid w:val="00214CA0"/>
    <w:rsid w:val="00216388"/>
    <w:rsid w:val="00223B42"/>
    <w:rsid w:val="0022728C"/>
    <w:rsid w:val="00232C96"/>
    <w:rsid w:val="00237A50"/>
    <w:rsid w:val="00247697"/>
    <w:rsid w:val="00250537"/>
    <w:rsid w:val="002549FB"/>
    <w:rsid w:val="00261A07"/>
    <w:rsid w:val="00263D10"/>
    <w:rsid w:val="002676AD"/>
    <w:rsid w:val="00274BDD"/>
    <w:rsid w:val="002821B9"/>
    <w:rsid w:val="00284BA2"/>
    <w:rsid w:val="002857AB"/>
    <w:rsid w:val="002867B3"/>
    <w:rsid w:val="00291562"/>
    <w:rsid w:val="00293ABE"/>
    <w:rsid w:val="002A2E3B"/>
    <w:rsid w:val="002A2F5B"/>
    <w:rsid w:val="002A5335"/>
    <w:rsid w:val="002A5A89"/>
    <w:rsid w:val="002A6D3D"/>
    <w:rsid w:val="002A707F"/>
    <w:rsid w:val="002B35FB"/>
    <w:rsid w:val="002B695B"/>
    <w:rsid w:val="002C08EE"/>
    <w:rsid w:val="002C22E2"/>
    <w:rsid w:val="002D2EC9"/>
    <w:rsid w:val="002D35AE"/>
    <w:rsid w:val="002D3FCB"/>
    <w:rsid w:val="002E54E8"/>
    <w:rsid w:val="0030153B"/>
    <w:rsid w:val="0030160F"/>
    <w:rsid w:val="00302077"/>
    <w:rsid w:val="003065B6"/>
    <w:rsid w:val="00311FEA"/>
    <w:rsid w:val="00312342"/>
    <w:rsid w:val="00313E8B"/>
    <w:rsid w:val="00313F2D"/>
    <w:rsid w:val="003316FE"/>
    <w:rsid w:val="00334263"/>
    <w:rsid w:val="00336B3A"/>
    <w:rsid w:val="00341B8C"/>
    <w:rsid w:val="003459E4"/>
    <w:rsid w:val="00350EB5"/>
    <w:rsid w:val="003649BA"/>
    <w:rsid w:val="00365A48"/>
    <w:rsid w:val="00367171"/>
    <w:rsid w:val="00367463"/>
    <w:rsid w:val="00367FCC"/>
    <w:rsid w:val="00374013"/>
    <w:rsid w:val="00391A7F"/>
    <w:rsid w:val="00394B86"/>
    <w:rsid w:val="0039501A"/>
    <w:rsid w:val="003A0F11"/>
    <w:rsid w:val="003A470F"/>
    <w:rsid w:val="003B1714"/>
    <w:rsid w:val="003B4A9B"/>
    <w:rsid w:val="003B56ED"/>
    <w:rsid w:val="003C369A"/>
    <w:rsid w:val="003C7A36"/>
    <w:rsid w:val="003E3A6E"/>
    <w:rsid w:val="003E5564"/>
    <w:rsid w:val="003E6C8E"/>
    <w:rsid w:val="004011C0"/>
    <w:rsid w:val="00410D96"/>
    <w:rsid w:val="00425657"/>
    <w:rsid w:val="00432D74"/>
    <w:rsid w:val="0044231D"/>
    <w:rsid w:val="00447393"/>
    <w:rsid w:val="0044741D"/>
    <w:rsid w:val="00447FF4"/>
    <w:rsid w:val="00450CFA"/>
    <w:rsid w:val="00450D93"/>
    <w:rsid w:val="0045101A"/>
    <w:rsid w:val="00454755"/>
    <w:rsid w:val="00460152"/>
    <w:rsid w:val="0046177D"/>
    <w:rsid w:val="0046522D"/>
    <w:rsid w:val="00480F65"/>
    <w:rsid w:val="0048646E"/>
    <w:rsid w:val="004911E3"/>
    <w:rsid w:val="00496193"/>
    <w:rsid w:val="004A214C"/>
    <w:rsid w:val="004A2665"/>
    <w:rsid w:val="004B358E"/>
    <w:rsid w:val="004B462A"/>
    <w:rsid w:val="004B4B8A"/>
    <w:rsid w:val="004B7372"/>
    <w:rsid w:val="004C2E94"/>
    <w:rsid w:val="004C4982"/>
    <w:rsid w:val="004C6D5D"/>
    <w:rsid w:val="004D0E6A"/>
    <w:rsid w:val="004D1B9B"/>
    <w:rsid w:val="004D54ED"/>
    <w:rsid w:val="004E38C7"/>
    <w:rsid w:val="004E48DB"/>
    <w:rsid w:val="004E4D88"/>
    <w:rsid w:val="004F5D8E"/>
    <w:rsid w:val="004F7C4E"/>
    <w:rsid w:val="00500A74"/>
    <w:rsid w:val="00507EAE"/>
    <w:rsid w:val="00523F38"/>
    <w:rsid w:val="0052552F"/>
    <w:rsid w:val="0053503E"/>
    <w:rsid w:val="00540D1B"/>
    <w:rsid w:val="0054226C"/>
    <w:rsid w:val="00553F3E"/>
    <w:rsid w:val="00554407"/>
    <w:rsid w:val="005554A7"/>
    <w:rsid w:val="0055614A"/>
    <w:rsid w:val="005646DF"/>
    <w:rsid w:val="005724F2"/>
    <w:rsid w:val="00583424"/>
    <w:rsid w:val="00583C06"/>
    <w:rsid w:val="00584024"/>
    <w:rsid w:val="0058581F"/>
    <w:rsid w:val="00590B52"/>
    <w:rsid w:val="00593F33"/>
    <w:rsid w:val="005956C7"/>
    <w:rsid w:val="00597A0A"/>
    <w:rsid w:val="005A4B87"/>
    <w:rsid w:val="005B224A"/>
    <w:rsid w:val="005B3E92"/>
    <w:rsid w:val="005B42A3"/>
    <w:rsid w:val="005B47E2"/>
    <w:rsid w:val="005B5AA8"/>
    <w:rsid w:val="005B6883"/>
    <w:rsid w:val="005C06E7"/>
    <w:rsid w:val="005D22F1"/>
    <w:rsid w:val="005D625F"/>
    <w:rsid w:val="005D7B67"/>
    <w:rsid w:val="005E0306"/>
    <w:rsid w:val="005E73DC"/>
    <w:rsid w:val="005F496A"/>
    <w:rsid w:val="006002DE"/>
    <w:rsid w:val="0060322B"/>
    <w:rsid w:val="00610B7E"/>
    <w:rsid w:val="00620000"/>
    <w:rsid w:val="00620B6F"/>
    <w:rsid w:val="0062245C"/>
    <w:rsid w:val="0063363E"/>
    <w:rsid w:val="00633F61"/>
    <w:rsid w:val="006344E4"/>
    <w:rsid w:val="0064484F"/>
    <w:rsid w:val="00645E11"/>
    <w:rsid w:val="00646E5A"/>
    <w:rsid w:val="006553F7"/>
    <w:rsid w:val="00663F73"/>
    <w:rsid w:val="00676065"/>
    <w:rsid w:val="00676242"/>
    <w:rsid w:val="00677946"/>
    <w:rsid w:val="00685A05"/>
    <w:rsid w:val="006911AE"/>
    <w:rsid w:val="006979B1"/>
    <w:rsid w:val="006A2E21"/>
    <w:rsid w:val="006A671F"/>
    <w:rsid w:val="006A68C9"/>
    <w:rsid w:val="006B3ABC"/>
    <w:rsid w:val="006C2D29"/>
    <w:rsid w:val="006D1A23"/>
    <w:rsid w:val="006D62D6"/>
    <w:rsid w:val="006E2E5C"/>
    <w:rsid w:val="006E4A26"/>
    <w:rsid w:val="006E6B25"/>
    <w:rsid w:val="006F4237"/>
    <w:rsid w:val="006F49F7"/>
    <w:rsid w:val="006F5A22"/>
    <w:rsid w:val="006F6540"/>
    <w:rsid w:val="00714211"/>
    <w:rsid w:val="00715804"/>
    <w:rsid w:val="007231A7"/>
    <w:rsid w:val="0072339B"/>
    <w:rsid w:val="00724E8E"/>
    <w:rsid w:val="00724E99"/>
    <w:rsid w:val="007256DF"/>
    <w:rsid w:val="00726738"/>
    <w:rsid w:val="00730AD6"/>
    <w:rsid w:val="007453F6"/>
    <w:rsid w:val="00746133"/>
    <w:rsid w:val="0076640D"/>
    <w:rsid w:val="00767B61"/>
    <w:rsid w:val="00770BA0"/>
    <w:rsid w:val="007754A0"/>
    <w:rsid w:val="00787FF8"/>
    <w:rsid w:val="00791BB9"/>
    <w:rsid w:val="00791D9A"/>
    <w:rsid w:val="00797ADE"/>
    <w:rsid w:val="007A5FB0"/>
    <w:rsid w:val="007B1019"/>
    <w:rsid w:val="007B5AF5"/>
    <w:rsid w:val="007B72B7"/>
    <w:rsid w:val="007C431A"/>
    <w:rsid w:val="007C5F3C"/>
    <w:rsid w:val="007C6F56"/>
    <w:rsid w:val="007E2241"/>
    <w:rsid w:val="007F5BB7"/>
    <w:rsid w:val="00800870"/>
    <w:rsid w:val="00801FA1"/>
    <w:rsid w:val="00805CC2"/>
    <w:rsid w:val="008122FB"/>
    <w:rsid w:val="008155E6"/>
    <w:rsid w:val="00823CE2"/>
    <w:rsid w:val="00824E17"/>
    <w:rsid w:val="00825AC1"/>
    <w:rsid w:val="00826CBF"/>
    <w:rsid w:val="00833A42"/>
    <w:rsid w:val="00845E9C"/>
    <w:rsid w:val="00846399"/>
    <w:rsid w:val="00854F17"/>
    <w:rsid w:val="00871873"/>
    <w:rsid w:val="0087288F"/>
    <w:rsid w:val="008741D0"/>
    <w:rsid w:val="008742B1"/>
    <w:rsid w:val="008773E6"/>
    <w:rsid w:val="00881A88"/>
    <w:rsid w:val="00893569"/>
    <w:rsid w:val="00894073"/>
    <w:rsid w:val="00894631"/>
    <w:rsid w:val="00897234"/>
    <w:rsid w:val="008973A0"/>
    <w:rsid w:val="008C3103"/>
    <w:rsid w:val="008C78CC"/>
    <w:rsid w:val="008D47DF"/>
    <w:rsid w:val="008E0B2B"/>
    <w:rsid w:val="008E1461"/>
    <w:rsid w:val="008E549F"/>
    <w:rsid w:val="008F5DAC"/>
    <w:rsid w:val="00900618"/>
    <w:rsid w:val="00900996"/>
    <w:rsid w:val="00911ECE"/>
    <w:rsid w:val="00916D65"/>
    <w:rsid w:val="0091723A"/>
    <w:rsid w:val="00917600"/>
    <w:rsid w:val="00925AB1"/>
    <w:rsid w:val="00931164"/>
    <w:rsid w:val="009366E1"/>
    <w:rsid w:val="0093725B"/>
    <w:rsid w:val="0094657B"/>
    <w:rsid w:val="00951B11"/>
    <w:rsid w:val="0095204A"/>
    <w:rsid w:val="0095436E"/>
    <w:rsid w:val="00957641"/>
    <w:rsid w:val="00963066"/>
    <w:rsid w:val="009718EC"/>
    <w:rsid w:val="009728AB"/>
    <w:rsid w:val="009744CB"/>
    <w:rsid w:val="00975212"/>
    <w:rsid w:val="00992686"/>
    <w:rsid w:val="00994C3A"/>
    <w:rsid w:val="009976B3"/>
    <w:rsid w:val="009B2870"/>
    <w:rsid w:val="009C087E"/>
    <w:rsid w:val="009C6009"/>
    <w:rsid w:val="009E3100"/>
    <w:rsid w:val="009E413B"/>
    <w:rsid w:val="009E53D3"/>
    <w:rsid w:val="009F45D2"/>
    <w:rsid w:val="00A03F78"/>
    <w:rsid w:val="00A06299"/>
    <w:rsid w:val="00A1216B"/>
    <w:rsid w:val="00A12D1D"/>
    <w:rsid w:val="00A1394E"/>
    <w:rsid w:val="00A15357"/>
    <w:rsid w:val="00A24DD9"/>
    <w:rsid w:val="00A31E30"/>
    <w:rsid w:val="00A605D0"/>
    <w:rsid w:val="00A72750"/>
    <w:rsid w:val="00A72D47"/>
    <w:rsid w:val="00A82757"/>
    <w:rsid w:val="00A828D8"/>
    <w:rsid w:val="00A83370"/>
    <w:rsid w:val="00A918E5"/>
    <w:rsid w:val="00A9245C"/>
    <w:rsid w:val="00A9467F"/>
    <w:rsid w:val="00A94981"/>
    <w:rsid w:val="00A975CE"/>
    <w:rsid w:val="00AB03D9"/>
    <w:rsid w:val="00AB0CC4"/>
    <w:rsid w:val="00AB426E"/>
    <w:rsid w:val="00AB5B46"/>
    <w:rsid w:val="00AB623B"/>
    <w:rsid w:val="00AC3B37"/>
    <w:rsid w:val="00AD197B"/>
    <w:rsid w:val="00AD5650"/>
    <w:rsid w:val="00AD6359"/>
    <w:rsid w:val="00AE46DB"/>
    <w:rsid w:val="00AE4C30"/>
    <w:rsid w:val="00AE6C15"/>
    <w:rsid w:val="00AE7E87"/>
    <w:rsid w:val="00AF3A0A"/>
    <w:rsid w:val="00B04F32"/>
    <w:rsid w:val="00B11162"/>
    <w:rsid w:val="00B14B0C"/>
    <w:rsid w:val="00B33E80"/>
    <w:rsid w:val="00B3436B"/>
    <w:rsid w:val="00B44BD3"/>
    <w:rsid w:val="00B61917"/>
    <w:rsid w:val="00B63BA4"/>
    <w:rsid w:val="00B63E67"/>
    <w:rsid w:val="00B65E20"/>
    <w:rsid w:val="00B757C9"/>
    <w:rsid w:val="00B812AF"/>
    <w:rsid w:val="00B83645"/>
    <w:rsid w:val="00B843EB"/>
    <w:rsid w:val="00B87433"/>
    <w:rsid w:val="00B8756D"/>
    <w:rsid w:val="00B961FB"/>
    <w:rsid w:val="00B96F86"/>
    <w:rsid w:val="00B9798D"/>
    <w:rsid w:val="00BA1DA0"/>
    <w:rsid w:val="00BA452F"/>
    <w:rsid w:val="00BA5E00"/>
    <w:rsid w:val="00BB3106"/>
    <w:rsid w:val="00BB4F8E"/>
    <w:rsid w:val="00BC7CA1"/>
    <w:rsid w:val="00BD4D94"/>
    <w:rsid w:val="00BE09DB"/>
    <w:rsid w:val="00BE1236"/>
    <w:rsid w:val="00BE143E"/>
    <w:rsid w:val="00BE1671"/>
    <w:rsid w:val="00BE1C61"/>
    <w:rsid w:val="00BE62B3"/>
    <w:rsid w:val="00BE71C9"/>
    <w:rsid w:val="00BF036D"/>
    <w:rsid w:val="00BF595A"/>
    <w:rsid w:val="00C03A89"/>
    <w:rsid w:val="00C0408B"/>
    <w:rsid w:val="00C12FA8"/>
    <w:rsid w:val="00C27DE9"/>
    <w:rsid w:val="00C328B9"/>
    <w:rsid w:val="00C36A57"/>
    <w:rsid w:val="00C378C4"/>
    <w:rsid w:val="00C403FF"/>
    <w:rsid w:val="00C4402F"/>
    <w:rsid w:val="00C459E9"/>
    <w:rsid w:val="00C460B5"/>
    <w:rsid w:val="00C575B2"/>
    <w:rsid w:val="00C64A09"/>
    <w:rsid w:val="00C65563"/>
    <w:rsid w:val="00C65956"/>
    <w:rsid w:val="00C702AE"/>
    <w:rsid w:val="00C73E9E"/>
    <w:rsid w:val="00C81B59"/>
    <w:rsid w:val="00C81E25"/>
    <w:rsid w:val="00C842E1"/>
    <w:rsid w:val="00C9029A"/>
    <w:rsid w:val="00C90D03"/>
    <w:rsid w:val="00C92739"/>
    <w:rsid w:val="00CA1003"/>
    <w:rsid w:val="00CA3820"/>
    <w:rsid w:val="00CA4272"/>
    <w:rsid w:val="00CB4AB1"/>
    <w:rsid w:val="00CC2419"/>
    <w:rsid w:val="00CC2C97"/>
    <w:rsid w:val="00CC4356"/>
    <w:rsid w:val="00CC705D"/>
    <w:rsid w:val="00CF1FFE"/>
    <w:rsid w:val="00D012FC"/>
    <w:rsid w:val="00D02191"/>
    <w:rsid w:val="00D0623F"/>
    <w:rsid w:val="00D10AE4"/>
    <w:rsid w:val="00D125BF"/>
    <w:rsid w:val="00D1738A"/>
    <w:rsid w:val="00D27214"/>
    <w:rsid w:val="00D30A02"/>
    <w:rsid w:val="00D34CCF"/>
    <w:rsid w:val="00D4240B"/>
    <w:rsid w:val="00D45E06"/>
    <w:rsid w:val="00D5393A"/>
    <w:rsid w:val="00D62566"/>
    <w:rsid w:val="00D67315"/>
    <w:rsid w:val="00D7245F"/>
    <w:rsid w:val="00D75CD3"/>
    <w:rsid w:val="00D84945"/>
    <w:rsid w:val="00D85568"/>
    <w:rsid w:val="00D86228"/>
    <w:rsid w:val="00D86C48"/>
    <w:rsid w:val="00D9409B"/>
    <w:rsid w:val="00D97BE3"/>
    <w:rsid w:val="00DA3194"/>
    <w:rsid w:val="00DB0C32"/>
    <w:rsid w:val="00DC0F73"/>
    <w:rsid w:val="00DC47BB"/>
    <w:rsid w:val="00DC57AA"/>
    <w:rsid w:val="00DC60CF"/>
    <w:rsid w:val="00DD1CAA"/>
    <w:rsid w:val="00DD2E62"/>
    <w:rsid w:val="00DE5542"/>
    <w:rsid w:val="00DE5758"/>
    <w:rsid w:val="00DF0871"/>
    <w:rsid w:val="00E07A61"/>
    <w:rsid w:val="00E10CE9"/>
    <w:rsid w:val="00E123A6"/>
    <w:rsid w:val="00E231DB"/>
    <w:rsid w:val="00E261D4"/>
    <w:rsid w:val="00E266AA"/>
    <w:rsid w:val="00E32197"/>
    <w:rsid w:val="00E46B6B"/>
    <w:rsid w:val="00E4719F"/>
    <w:rsid w:val="00E53B95"/>
    <w:rsid w:val="00E53E23"/>
    <w:rsid w:val="00E540F1"/>
    <w:rsid w:val="00E7311C"/>
    <w:rsid w:val="00E92111"/>
    <w:rsid w:val="00E9773E"/>
    <w:rsid w:val="00EA76E8"/>
    <w:rsid w:val="00EB1075"/>
    <w:rsid w:val="00EB225D"/>
    <w:rsid w:val="00EC461C"/>
    <w:rsid w:val="00ED11C3"/>
    <w:rsid w:val="00ED5382"/>
    <w:rsid w:val="00ED5AC6"/>
    <w:rsid w:val="00EE4C2E"/>
    <w:rsid w:val="00EE5444"/>
    <w:rsid w:val="00EF1F06"/>
    <w:rsid w:val="00EF5C57"/>
    <w:rsid w:val="00EF68C9"/>
    <w:rsid w:val="00F1384A"/>
    <w:rsid w:val="00F17567"/>
    <w:rsid w:val="00F20072"/>
    <w:rsid w:val="00F374DD"/>
    <w:rsid w:val="00F375CF"/>
    <w:rsid w:val="00F40B2F"/>
    <w:rsid w:val="00F47F56"/>
    <w:rsid w:val="00F518AF"/>
    <w:rsid w:val="00F546D2"/>
    <w:rsid w:val="00F56026"/>
    <w:rsid w:val="00F61918"/>
    <w:rsid w:val="00F67850"/>
    <w:rsid w:val="00F76042"/>
    <w:rsid w:val="00F8026E"/>
    <w:rsid w:val="00F80C58"/>
    <w:rsid w:val="00F833B6"/>
    <w:rsid w:val="00F84A33"/>
    <w:rsid w:val="00F879C1"/>
    <w:rsid w:val="00FA12B9"/>
    <w:rsid w:val="00FA511D"/>
    <w:rsid w:val="00FA6962"/>
    <w:rsid w:val="00FB24B8"/>
    <w:rsid w:val="00FB2E0E"/>
    <w:rsid w:val="00FB31FB"/>
    <w:rsid w:val="00FC4DF2"/>
    <w:rsid w:val="00FC59E0"/>
    <w:rsid w:val="00FC659B"/>
    <w:rsid w:val="00FC6697"/>
    <w:rsid w:val="00FD1DF1"/>
    <w:rsid w:val="00FD3AAC"/>
    <w:rsid w:val="00FF1FDA"/>
    <w:rsid w:val="00FF28E8"/>
    <w:rsid w:val="00FF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1408"/>
  <w15:chartTrackingRefBased/>
  <w15:docId w15:val="{C3854425-CB03-4D07-AC28-7DFF50E7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5A"/>
    <w:pPr>
      <w:spacing w:after="0" w:line="480" w:lineRule="auto"/>
    </w:pPr>
    <w:rPr>
      <w:rFonts w:ascii="Times New Roman" w:hAnsi="Times New Roman"/>
      <w:lang w:val="en-IE"/>
    </w:rPr>
  </w:style>
  <w:style w:type="paragraph" w:styleId="Heading1">
    <w:name w:val="heading 1"/>
    <w:basedOn w:val="Normal"/>
    <w:next w:val="Normal"/>
    <w:link w:val="Heading1Char"/>
    <w:uiPriority w:val="9"/>
    <w:qFormat/>
    <w:rsid w:val="00AE46DB"/>
    <w:pPr>
      <w:keepNext/>
      <w:keepLines/>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AE46DB"/>
    <w:pPr>
      <w:keepNext/>
      <w:keepLines/>
      <w:spacing w:before="160" w:after="80"/>
      <w:outlineLvl w:val="1"/>
    </w:pPr>
    <w:rPr>
      <w:rFonts w:eastAsiaTheme="majorEastAsia" w:cstheme="majorBidi"/>
      <w:color w:val="000000" w:themeColor="text1"/>
      <w:szCs w:val="32"/>
    </w:rPr>
  </w:style>
  <w:style w:type="paragraph" w:styleId="Heading3">
    <w:name w:val="heading 3"/>
    <w:basedOn w:val="Normal"/>
    <w:next w:val="Normal"/>
    <w:link w:val="Heading3Char"/>
    <w:uiPriority w:val="9"/>
    <w:unhideWhenUsed/>
    <w:qFormat/>
    <w:rsid w:val="006B3ABC"/>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6B3ABC"/>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4F7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DB"/>
    <w:rPr>
      <w:rFonts w:ascii="Times New Roman" w:eastAsiaTheme="majorEastAsia" w:hAnsi="Times New Roman" w:cstheme="majorBidi"/>
      <w:szCs w:val="40"/>
    </w:rPr>
  </w:style>
  <w:style w:type="character" w:customStyle="1" w:styleId="Heading2Char">
    <w:name w:val="Heading 2 Char"/>
    <w:basedOn w:val="DefaultParagraphFont"/>
    <w:link w:val="Heading2"/>
    <w:uiPriority w:val="9"/>
    <w:rsid w:val="00AE46DB"/>
    <w:rPr>
      <w:rFonts w:ascii="Times New Roman" w:eastAsiaTheme="majorEastAsia" w:hAnsi="Times New Roman" w:cstheme="majorBidi"/>
      <w:color w:val="000000" w:themeColor="text1"/>
      <w:szCs w:val="32"/>
    </w:rPr>
  </w:style>
  <w:style w:type="character" w:customStyle="1" w:styleId="Heading3Char">
    <w:name w:val="Heading 3 Char"/>
    <w:basedOn w:val="DefaultParagraphFont"/>
    <w:link w:val="Heading3"/>
    <w:uiPriority w:val="9"/>
    <w:rsid w:val="006B3ABC"/>
    <w:rPr>
      <w:rFonts w:ascii="Times New Roman" w:eastAsiaTheme="majorEastAsia" w:hAnsi="Times New Roman" w:cstheme="majorBidi"/>
      <w:szCs w:val="28"/>
    </w:rPr>
  </w:style>
  <w:style w:type="character" w:customStyle="1" w:styleId="Heading4Char">
    <w:name w:val="Heading 4 Char"/>
    <w:basedOn w:val="DefaultParagraphFont"/>
    <w:link w:val="Heading4"/>
    <w:uiPriority w:val="9"/>
    <w:rsid w:val="006B3ABC"/>
    <w:rPr>
      <w:rFonts w:ascii="Times New Roman" w:eastAsiaTheme="majorEastAsia" w:hAnsi="Times New Roman" w:cstheme="majorBidi"/>
      <w:iCs/>
    </w:rPr>
  </w:style>
  <w:style w:type="character" w:customStyle="1" w:styleId="Heading5Char">
    <w:name w:val="Heading 5 Char"/>
    <w:basedOn w:val="DefaultParagraphFont"/>
    <w:link w:val="Heading5"/>
    <w:uiPriority w:val="9"/>
    <w:semiHidden/>
    <w:rsid w:val="004F7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C4E"/>
    <w:rPr>
      <w:rFonts w:eastAsiaTheme="majorEastAsia" w:cstheme="majorBidi"/>
      <w:color w:val="272727" w:themeColor="text1" w:themeTint="D8"/>
    </w:rPr>
  </w:style>
  <w:style w:type="paragraph" w:styleId="Title">
    <w:name w:val="Title"/>
    <w:basedOn w:val="Normal"/>
    <w:next w:val="Normal"/>
    <w:link w:val="TitleChar"/>
    <w:uiPriority w:val="10"/>
    <w:qFormat/>
    <w:rsid w:val="004F7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C4E"/>
    <w:pPr>
      <w:spacing w:before="160"/>
      <w:jc w:val="center"/>
    </w:pPr>
    <w:rPr>
      <w:i/>
      <w:iCs/>
      <w:color w:val="404040" w:themeColor="text1" w:themeTint="BF"/>
    </w:rPr>
  </w:style>
  <w:style w:type="character" w:customStyle="1" w:styleId="QuoteChar">
    <w:name w:val="Quote Char"/>
    <w:basedOn w:val="DefaultParagraphFont"/>
    <w:link w:val="Quote"/>
    <w:uiPriority w:val="29"/>
    <w:rsid w:val="004F7C4E"/>
    <w:rPr>
      <w:i/>
      <w:iCs/>
      <w:color w:val="404040" w:themeColor="text1" w:themeTint="BF"/>
    </w:rPr>
  </w:style>
  <w:style w:type="paragraph" w:styleId="ListParagraph">
    <w:name w:val="List Paragraph"/>
    <w:basedOn w:val="Normal"/>
    <w:uiPriority w:val="34"/>
    <w:qFormat/>
    <w:rsid w:val="004F7C4E"/>
    <w:pPr>
      <w:ind w:left="720"/>
      <w:contextualSpacing/>
    </w:pPr>
  </w:style>
  <w:style w:type="character" w:styleId="IntenseEmphasis">
    <w:name w:val="Intense Emphasis"/>
    <w:basedOn w:val="DefaultParagraphFont"/>
    <w:uiPriority w:val="21"/>
    <w:qFormat/>
    <w:rsid w:val="004F7C4E"/>
    <w:rPr>
      <w:i/>
      <w:iCs/>
      <w:color w:val="0F4761" w:themeColor="accent1" w:themeShade="BF"/>
    </w:rPr>
  </w:style>
  <w:style w:type="paragraph" w:styleId="IntenseQuote">
    <w:name w:val="Intense Quote"/>
    <w:basedOn w:val="Normal"/>
    <w:next w:val="Normal"/>
    <w:link w:val="IntenseQuoteChar"/>
    <w:uiPriority w:val="30"/>
    <w:qFormat/>
    <w:rsid w:val="004F7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C4E"/>
    <w:rPr>
      <w:i/>
      <w:iCs/>
      <w:color w:val="0F4761" w:themeColor="accent1" w:themeShade="BF"/>
    </w:rPr>
  </w:style>
  <w:style w:type="character" w:styleId="IntenseReference">
    <w:name w:val="Intense Reference"/>
    <w:basedOn w:val="DefaultParagraphFont"/>
    <w:uiPriority w:val="32"/>
    <w:qFormat/>
    <w:rsid w:val="004F7C4E"/>
    <w:rPr>
      <w:b/>
      <w:bCs/>
      <w:smallCaps/>
      <w:color w:val="0F4761" w:themeColor="accent1" w:themeShade="BF"/>
      <w:spacing w:val="5"/>
    </w:rPr>
  </w:style>
  <w:style w:type="paragraph" w:styleId="Revision">
    <w:name w:val="Revision"/>
    <w:hidden/>
    <w:uiPriority w:val="99"/>
    <w:semiHidden/>
    <w:rsid w:val="00BE09DB"/>
    <w:pPr>
      <w:spacing w:after="0" w:line="240" w:lineRule="auto"/>
    </w:pPr>
  </w:style>
  <w:style w:type="paragraph" w:styleId="EndnoteText">
    <w:name w:val="endnote text"/>
    <w:basedOn w:val="Normal"/>
    <w:link w:val="EndnoteTextChar"/>
    <w:uiPriority w:val="99"/>
    <w:unhideWhenUsed/>
    <w:rsid w:val="00157008"/>
    <w:pPr>
      <w:spacing w:line="240" w:lineRule="auto"/>
    </w:pPr>
    <w:rPr>
      <w:sz w:val="20"/>
      <w:szCs w:val="20"/>
    </w:rPr>
  </w:style>
  <w:style w:type="character" w:customStyle="1" w:styleId="EndnoteTextChar">
    <w:name w:val="Endnote Text Char"/>
    <w:basedOn w:val="DefaultParagraphFont"/>
    <w:link w:val="EndnoteText"/>
    <w:uiPriority w:val="99"/>
    <w:rsid w:val="00157008"/>
    <w:rPr>
      <w:rFonts w:ascii="Times New Roman" w:hAnsi="Times New Roman"/>
      <w:sz w:val="20"/>
      <w:szCs w:val="20"/>
    </w:rPr>
  </w:style>
  <w:style w:type="character" w:styleId="EndnoteReference">
    <w:name w:val="endnote reference"/>
    <w:basedOn w:val="DefaultParagraphFont"/>
    <w:uiPriority w:val="99"/>
    <w:semiHidden/>
    <w:unhideWhenUsed/>
    <w:rsid w:val="00157008"/>
    <w:rPr>
      <w:vertAlign w:val="superscript"/>
    </w:rPr>
  </w:style>
  <w:style w:type="character" w:styleId="Hyperlink">
    <w:name w:val="Hyperlink"/>
    <w:basedOn w:val="DefaultParagraphFont"/>
    <w:uiPriority w:val="99"/>
    <w:unhideWhenUsed/>
    <w:rsid w:val="00312342"/>
    <w:rPr>
      <w:color w:val="467886" w:themeColor="hyperlink"/>
      <w:u w:val="single"/>
    </w:rPr>
  </w:style>
  <w:style w:type="character" w:styleId="UnresolvedMention">
    <w:name w:val="Unresolved Mention"/>
    <w:basedOn w:val="DefaultParagraphFont"/>
    <w:uiPriority w:val="99"/>
    <w:semiHidden/>
    <w:unhideWhenUsed/>
    <w:rsid w:val="00312342"/>
    <w:rPr>
      <w:color w:val="605E5C"/>
      <w:shd w:val="clear" w:color="auto" w:fill="E1DFDD"/>
    </w:rPr>
  </w:style>
  <w:style w:type="paragraph" w:styleId="Header">
    <w:name w:val="header"/>
    <w:basedOn w:val="Normal"/>
    <w:link w:val="HeaderChar"/>
    <w:uiPriority w:val="99"/>
    <w:unhideWhenUsed/>
    <w:rsid w:val="00EF1F06"/>
    <w:pPr>
      <w:tabs>
        <w:tab w:val="center" w:pos="4680"/>
        <w:tab w:val="right" w:pos="9360"/>
      </w:tabs>
      <w:spacing w:line="240" w:lineRule="auto"/>
    </w:pPr>
  </w:style>
  <w:style w:type="character" w:customStyle="1" w:styleId="HeaderChar">
    <w:name w:val="Header Char"/>
    <w:basedOn w:val="DefaultParagraphFont"/>
    <w:link w:val="Header"/>
    <w:uiPriority w:val="99"/>
    <w:rsid w:val="00EF1F06"/>
    <w:rPr>
      <w:rFonts w:ascii="Times New Roman" w:hAnsi="Times New Roman"/>
    </w:rPr>
  </w:style>
  <w:style w:type="paragraph" w:styleId="Footer">
    <w:name w:val="footer"/>
    <w:basedOn w:val="Normal"/>
    <w:link w:val="FooterChar"/>
    <w:uiPriority w:val="99"/>
    <w:unhideWhenUsed/>
    <w:rsid w:val="00EF1F06"/>
    <w:pPr>
      <w:tabs>
        <w:tab w:val="center" w:pos="4680"/>
        <w:tab w:val="right" w:pos="9360"/>
      </w:tabs>
      <w:spacing w:line="240" w:lineRule="auto"/>
    </w:pPr>
  </w:style>
  <w:style w:type="character" w:customStyle="1" w:styleId="FooterChar">
    <w:name w:val="Footer Char"/>
    <w:basedOn w:val="DefaultParagraphFont"/>
    <w:link w:val="Footer"/>
    <w:uiPriority w:val="99"/>
    <w:rsid w:val="00EF1F06"/>
    <w:rPr>
      <w:rFonts w:ascii="Times New Roman" w:hAnsi="Times New Roman"/>
    </w:rPr>
  </w:style>
  <w:style w:type="paragraph" w:styleId="NoSpacing">
    <w:name w:val="No Spacing"/>
    <w:link w:val="NoSpacingChar"/>
    <w:uiPriority w:val="1"/>
    <w:qFormat/>
    <w:rsid w:val="00A9498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94981"/>
    <w:rPr>
      <w:rFonts w:eastAsiaTheme="minorEastAsia"/>
      <w:kern w:val="0"/>
      <w:sz w:val="22"/>
      <w:szCs w:val="22"/>
      <w14:ligatures w14:val="none"/>
    </w:rPr>
  </w:style>
  <w:style w:type="character" w:customStyle="1" w:styleId="ng-star-inserted">
    <w:name w:val="ng-star-inserted"/>
    <w:basedOn w:val="DefaultParagraphFont"/>
    <w:rsid w:val="003A0F11"/>
  </w:style>
  <w:style w:type="paragraph" w:styleId="FootnoteText">
    <w:name w:val="footnote text"/>
    <w:basedOn w:val="Normal"/>
    <w:link w:val="FootnoteTextChar"/>
    <w:uiPriority w:val="99"/>
    <w:semiHidden/>
    <w:unhideWhenUsed/>
    <w:rsid w:val="005F496A"/>
    <w:pPr>
      <w:spacing w:line="240" w:lineRule="auto"/>
    </w:pPr>
    <w:rPr>
      <w:sz w:val="20"/>
      <w:szCs w:val="20"/>
    </w:rPr>
  </w:style>
  <w:style w:type="character" w:customStyle="1" w:styleId="FootnoteTextChar">
    <w:name w:val="Footnote Text Char"/>
    <w:basedOn w:val="DefaultParagraphFont"/>
    <w:link w:val="FootnoteText"/>
    <w:uiPriority w:val="99"/>
    <w:semiHidden/>
    <w:rsid w:val="005F496A"/>
    <w:rPr>
      <w:rFonts w:ascii="Times New Roman" w:hAnsi="Times New Roman"/>
      <w:sz w:val="20"/>
      <w:szCs w:val="20"/>
    </w:rPr>
  </w:style>
  <w:style w:type="character" w:styleId="FootnoteReference">
    <w:name w:val="footnote reference"/>
    <w:basedOn w:val="DefaultParagraphFont"/>
    <w:uiPriority w:val="99"/>
    <w:semiHidden/>
    <w:unhideWhenUsed/>
    <w:rsid w:val="005F496A"/>
    <w:rPr>
      <w:vertAlign w:val="superscript"/>
    </w:rPr>
  </w:style>
  <w:style w:type="character" w:styleId="CommentReference">
    <w:name w:val="annotation reference"/>
    <w:basedOn w:val="DefaultParagraphFont"/>
    <w:uiPriority w:val="99"/>
    <w:semiHidden/>
    <w:unhideWhenUsed/>
    <w:rsid w:val="004C6D5D"/>
    <w:rPr>
      <w:sz w:val="16"/>
      <w:szCs w:val="16"/>
    </w:rPr>
  </w:style>
  <w:style w:type="paragraph" w:styleId="CommentText">
    <w:name w:val="annotation text"/>
    <w:basedOn w:val="Normal"/>
    <w:link w:val="CommentTextChar"/>
    <w:uiPriority w:val="99"/>
    <w:unhideWhenUsed/>
    <w:rsid w:val="004C6D5D"/>
    <w:pPr>
      <w:spacing w:line="240" w:lineRule="auto"/>
    </w:pPr>
    <w:rPr>
      <w:sz w:val="20"/>
      <w:szCs w:val="20"/>
    </w:rPr>
  </w:style>
  <w:style w:type="character" w:customStyle="1" w:styleId="CommentTextChar">
    <w:name w:val="Comment Text Char"/>
    <w:basedOn w:val="DefaultParagraphFont"/>
    <w:link w:val="CommentText"/>
    <w:uiPriority w:val="99"/>
    <w:rsid w:val="004C6D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6D5D"/>
    <w:rPr>
      <w:b/>
      <w:bCs/>
    </w:rPr>
  </w:style>
  <w:style w:type="character" w:customStyle="1" w:styleId="CommentSubjectChar">
    <w:name w:val="Comment Subject Char"/>
    <w:basedOn w:val="CommentTextChar"/>
    <w:link w:val="CommentSubject"/>
    <w:uiPriority w:val="99"/>
    <w:semiHidden/>
    <w:rsid w:val="004C6D5D"/>
    <w:rPr>
      <w:rFonts w:ascii="Times New Roman" w:hAnsi="Times New Roman"/>
      <w:b/>
      <w:bCs/>
      <w:sz w:val="20"/>
      <w:szCs w:val="20"/>
    </w:rPr>
  </w:style>
  <w:style w:type="character" w:styleId="FollowedHyperlink">
    <w:name w:val="FollowedHyperlink"/>
    <w:basedOn w:val="DefaultParagraphFont"/>
    <w:uiPriority w:val="99"/>
    <w:semiHidden/>
    <w:unhideWhenUsed/>
    <w:rsid w:val="00620000"/>
    <w:rPr>
      <w:color w:val="96607D" w:themeColor="followedHyperlink"/>
      <w:u w:val="single"/>
    </w:rPr>
  </w:style>
  <w:style w:type="paragraph" w:styleId="TOCHeading">
    <w:name w:val="TOC Heading"/>
    <w:basedOn w:val="Heading1"/>
    <w:next w:val="Normal"/>
    <w:uiPriority w:val="39"/>
    <w:unhideWhenUsed/>
    <w:qFormat/>
    <w:rsid w:val="000B165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50D93"/>
    <w:pPr>
      <w:spacing w:after="100"/>
    </w:pPr>
  </w:style>
  <w:style w:type="paragraph" w:styleId="TOC2">
    <w:name w:val="toc 2"/>
    <w:basedOn w:val="Normal"/>
    <w:next w:val="Normal"/>
    <w:autoRedefine/>
    <w:uiPriority w:val="39"/>
    <w:unhideWhenUsed/>
    <w:rsid w:val="00450D93"/>
    <w:pPr>
      <w:spacing w:after="100"/>
      <w:ind w:left="240"/>
    </w:pPr>
  </w:style>
  <w:style w:type="paragraph" w:styleId="TOC3">
    <w:name w:val="toc 3"/>
    <w:basedOn w:val="Normal"/>
    <w:next w:val="Normal"/>
    <w:autoRedefine/>
    <w:uiPriority w:val="39"/>
    <w:unhideWhenUsed/>
    <w:rsid w:val="00450D93"/>
    <w:pPr>
      <w:spacing w:after="100"/>
      <w:ind w:left="480"/>
    </w:pPr>
  </w:style>
  <w:style w:type="paragraph" w:styleId="NormalWeb">
    <w:name w:val="Normal (Web)"/>
    <w:basedOn w:val="Normal"/>
    <w:uiPriority w:val="99"/>
    <w:semiHidden/>
    <w:unhideWhenUsed/>
    <w:rsid w:val="00FF3A06"/>
    <w:rPr>
      <w:rFonts w:cs="Times New Roman"/>
    </w:rPr>
  </w:style>
  <w:style w:type="paragraph" w:styleId="Caption">
    <w:name w:val="caption"/>
    <w:basedOn w:val="Normal"/>
    <w:next w:val="Normal"/>
    <w:uiPriority w:val="35"/>
    <w:unhideWhenUsed/>
    <w:qFormat/>
    <w:rsid w:val="00C0408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sv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_rels/endnotes.xml.rels><?xml version="1.0" encoding="UTF-8" standalone="yes"?>
<Relationships xmlns="http://schemas.openxmlformats.org/package/2006/relationships"><Relationship Id="rId3" Type="http://schemas.openxmlformats.org/officeDocument/2006/relationships/hyperlink" Target="https://www.thejournal.ie/irish-air-corps-pc12-pc-12-grounded-air-ambulance-mission-cancelled-6882021-Nov2025/?utm_source=chatgpt.com" TargetMode="External"/><Relationship Id="rId2" Type="http://schemas.openxmlformats.org/officeDocument/2006/relationships/hyperlink" Target="https://ukdefencejournal.org.uk/irelands-undersea-cables-are-at-risk/?utm_source=chatgpt.com" TargetMode="External"/><Relationship Id="rId1" Type="http://schemas.openxmlformats.org/officeDocument/2006/relationships/hyperlink" Target="https://www.defensenews.com/global/europe/2025/09/17/space-is-the-new-frontier-of-war-officials-say-in-change-of-tone/?utm_source=chatgpt.com" TargetMode="External"/><Relationship Id="rId4" Type="http://schemas.openxmlformats.org/officeDocument/2006/relationships/hyperlink" Target="https://defence-industry-space.ec.europa.eu/document/download/8a7b47f0-b755-4754-b1e1%204c52225d4c7e_en?filename=FACTSHEET_EDF_2024_LS_RA_CHALLENGE_SPACE_MSIAP_101224467_MYRI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7101192C-4190-4A9B-9A98-75D134A878A5}">
  <ds:schemaRefs>
    <ds:schemaRef ds:uri="http://schemas.openxmlformats.org/officeDocument/2006/bibliography"/>
  </ds:schemaRefs>
</ds:datastoreItem>
</file>

<file path=customXml/itemProps2.xml><?xml version="1.0" encoding="utf-8"?>
<ds:datastoreItem xmlns:ds="http://schemas.openxmlformats.org/officeDocument/2006/customXml" ds:itemID="{8C1C1C83-BF99-4DF0-80A8-CA3DF4CE630D}"/>
</file>

<file path=customXml/itemProps3.xml><?xml version="1.0" encoding="utf-8"?>
<ds:datastoreItem xmlns:ds="http://schemas.openxmlformats.org/officeDocument/2006/customXml" ds:itemID="{7F96B4E6-F8C9-4357-A823-B05FDCFE0D91}"/>
</file>

<file path=customXml/itemProps4.xml><?xml version="1.0" encoding="utf-8"?>
<ds:datastoreItem xmlns:ds="http://schemas.openxmlformats.org/officeDocument/2006/customXml" ds:itemID="{B2C41255-C8CE-498C-86AD-21E1603C088C}"/>
</file>

<file path=docProps/app.xml><?xml version="1.0" encoding="utf-8"?>
<Properties xmlns="http://schemas.openxmlformats.org/officeDocument/2006/extended-properties" xmlns:vt="http://schemas.openxmlformats.org/officeDocument/2006/docPropsVTypes">
  <Template>Normal.dotm</Template>
  <TotalTime>658</TotalTime>
  <Pages>74</Pages>
  <Words>15843</Words>
  <Characters>100130</Characters>
  <Application>Microsoft Office Word</Application>
  <DocSecurity>0</DocSecurity>
  <Lines>1410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FINGLETON, NIALL Major EI IOS/ACSC AY26 Student</dc:creator>
  <cp:keywords/>
  <dc:description/>
  <cp:lastModifiedBy>FINGLETON, NIALL Major EI IOS/ACSC AY26 Student</cp:lastModifiedBy>
  <cp:revision>23</cp:revision>
  <cp:lastPrinted>2025-08-08T01:29:00Z</cp:lastPrinted>
  <dcterms:created xsi:type="dcterms:W3CDTF">2026-04-07T04:19:00Z</dcterms:created>
  <dcterms:modified xsi:type="dcterms:W3CDTF">2026-04-15T18:43:00Z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